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F1D9B" w14:textId="77777777" w:rsidR="005231DD" w:rsidRDefault="005231DD">
      <w:pPr>
        <w:spacing w:line="360" w:lineRule="auto"/>
        <w:jc w:val="right"/>
        <w:rPr>
          <w:rFonts w:ascii="Century Schoolbook" w:eastAsia="Century Schoolbook" w:hAnsi="Century Schoolbook" w:cs="Century Schoolbook"/>
        </w:rPr>
      </w:pPr>
    </w:p>
    <w:p w14:paraId="643F80D3" w14:textId="77777777" w:rsidR="005231DD" w:rsidRDefault="005231DD">
      <w:pPr>
        <w:spacing w:line="360" w:lineRule="auto"/>
        <w:jc w:val="center"/>
        <w:rPr>
          <w:rFonts w:ascii="Century Schoolbook" w:eastAsia="Century Schoolbook" w:hAnsi="Century Schoolbook" w:cs="Century Schoolbook"/>
          <w:smallCaps/>
        </w:rPr>
      </w:pPr>
    </w:p>
    <w:p w14:paraId="733DFD5C" w14:textId="77777777" w:rsidR="005231DD" w:rsidRDefault="005231DD">
      <w:pPr>
        <w:spacing w:line="360" w:lineRule="auto"/>
        <w:jc w:val="center"/>
        <w:rPr>
          <w:rFonts w:ascii="Century Schoolbook" w:eastAsia="Century Schoolbook" w:hAnsi="Century Schoolbook" w:cs="Century Schoolbook"/>
          <w:smallCaps/>
        </w:rPr>
      </w:pPr>
    </w:p>
    <w:p w14:paraId="2C2DA30A" w14:textId="77777777" w:rsidR="005231DD" w:rsidRDefault="005231DD">
      <w:pPr>
        <w:spacing w:line="360" w:lineRule="auto"/>
        <w:jc w:val="center"/>
        <w:rPr>
          <w:rFonts w:ascii="Century Schoolbook" w:eastAsia="Century Schoolbook" w:hAnsi="Century Schoolbook" w:cs="Century Schoolbook"/>
          <w:smallCaps/>
        </w:rPr>
      </w:pPr>
    </w:p>
    <w:p w14:paraId="6DD490C5" w14:textId="77777777" w:rsidR="005231DD" w:rsidRDefault="005231DD">
      <w:pPr>
        <w:spacing w:line="360" w:lineRule="auto"/>
        <w:jc w:val="center"/>
        <w:rPr>
          <w:rFonts w:ascii="Century Schoolbook" w:eastAsia="Century Schoolbook" w:hAnsi="Century Schoolbook" w:cs="Century Schoolbook"/>
          <w:smallCaps/>
        </w:rPr>
      </w:pPr>
    </w:p>
    <w:p w14:paraId="0EC2C31D" w14:textId="77777777" w:rsidR="005231DD" w:rsidRDefault="00D73797">
      <w:pPr>
        <w:jc w:val="center"/>
        <w:rPr>
          <w:rFonts w:ascii="Century Schoolbook" w:eastAsia="Century Schoolbook" w:hAnsi="Century Schoolbook" w:cs="Century Schoolbook"/>
          <w:smallCaps/>
          <w:sz w:val="28"/>
          <w:szCs w:val="28"/>
        </w:rPr>
      </w:pPr>
      <w:r>
        <w:rPr>
          <w:rFonts w:ascii="Century Schoolbook" w:eastAsia="Century Schoolbook" w:hAnsi="Century Schoolbook" w:cs="Century Schoolbook"/>
          <w:smallCaps/>
          <w:sz w:val="28"/>
          <w:szCs w:val="28"/>
        </w:rPr>
        <w:t>Proposta di legge</w:t>
      </w:r>
    </w:p>
    <w:p w14:paraId="60C3F897" w14:textId="77777777" w:rsidR="005231DD" w:rsidRDefault="005231DD">
      <w:pPr>
        <w:jc w:val="center"/>
        <w:rPr>
          <w:rFonts w:ascii="Century Schoolbook" w:eastAsia="Century Schoolbook" w:hAnsi="Century Schoolbook" w:cs="Century Schoolbook"/>
          <w:smallCaps/>
          <w:sz w:val="28"/>
          <w:szCs w:val="28"/>
        </w:rPr>
      </w:pPr>
    </w:p>
    <w:p w14:paraId="59249684" w14:textId="77777777" w:rsidR="005231DD" w:rsidRDefault="00D73797">
      <w:pPr>
        <w:jc w:val="center"/>
        <w:rPr>
          <w:rFonts w:ascii="Century Schoolbook" w:eastAsia="Century Schoolbook" w:hAnsi="Century Schoolbook" w:cs="Century Schoolbook"/>
          <w:sz w:val="28"/>
          <w:szCs w:val="28"/>
        </w:rPr>
      </w:pPr>
      <w:r>
        <w:rPr>
          <w:rFonts w:ascii="Century Schoolbook" w:eastAsia="Century Schoolbook" w:hAnsi="Century Schoolbook" w:cs="Century Schoolbook"/>
          <w:sz w:val="28"/>
          <w:szCs w:val="28"/>
        </w:rPr>
        <w:t>Disposizioni per l’iscrizione delle persone senza fissa dimora nelle liste degli assistiti delle ASL regionali</w:t>
      </w:r>
    </w:p>
    <w:p w14:paraId="6BAF21BD" w14:textId="77777777" w:rsidR="005231DD" w:rsidRDefault="005231DD">
      <w:pPr>
        <w:jc w:val="center"/>
        <w:rPr>
          <w:rFonts w:ascii="Century Schoolbook" w:eastAsia="Century Schoolbook" w:hAnsi="Century Schoolbook" w:cs="Century Schoolbook"/>
          <w:sz w:val="28"/>
          <w:szCs w:val="28"/>
        </w:rPr>
      </w:pPr>
    </w:p>
    <w:p w14:paraId="38AE3D0E" w14:textId="77777777" w:rsidR="005231DD" w:rsidRDefault="005231DD">
      <w:pPr>
        <w:jc w:val="center"/>
        <w:rPr>
          <w:rFonts w:ascii="Century Schoolbook" w:eastAsia="Century Schoolbook" w:hAnsi="Century Schoolbook" w:cs="Century Schoolbook"/>
          <w:sz w:val="28"/>
          <w:szCs w:val="28"/>
        </w:rPr>
      </w:pPr>
    </w:p>
    <w:p w14:paraId="0F69236C" w14:textId="77777777" w:rsidR="005231DD" w:rsidRDefault="005231DD">
      <w:pPr>
        <w:jc w:val="center"/>
        <w:rPr>
          <w:rFonts w:ascii="Century Schoolbook" w:eastAsia="Century Schoolbook" w:hAnsi="Century Schoolbook" w:cs="Century Schoolbook"/>
          <w:sz w:val="28"/>
          <w:szCs w:val="28"/>
        </w:rPr>
      </w:pPr>
    </w:p>
    <w:p w14:paraId="4F8097D6" w14:textId="77777777" w:rsidR="005231DD" w:rsidRDefault="005231DD">
      <w:pPr>
        <w:spacing w:line="360" w:lineRule="auto"/>
        <w:jc w:val="center"/>
        <w:rPr>
          <w:rFonts w:ascii="Century Schoolbook" w:eastAsia="Century Schoolbook" w:hAnsi="Century Schoolbook" w:cs="Century Schoolbook"/>
          <w:smallCaps/>
        </w:rPr>
      </w:pPr>
    </w:p>
    <w:p w14:paraId="134DD006" w14:textId="77777777" w:rsidR="005231DD" w:rsidRDefault="005231DD">
      <w:pPr>
        <w:spacing w:line="360" w:lineRule="auto"/>
        <w:jc w:val="center"/>
        <w:rPr>
          <w:rFonts w:ascii="Century Schoolbook" w:eastAsia="Century Schoolbook" w:hAnsi="Century Schoolbook" w:cs="Century Schoolbook"/>
          <w:smallCaps/>
        </w:rPr>
      </w:pPr>
    </w:p>
    <w:p w14:paraId="2B324382" w14:textId="77777777" w:rsidR="005231DD" w:rsidRDefault="005231DD">
      <w:pPr>
        <w:spacing w:line="360" w:lineRule="auto"/>
        <w:jc w:val="center"/>
        <w:rPr>
          <w:rFonts w:ascii="Century Schoolbook" w:eastAsia="Century Schoolbook" w:hAnsi="Century Schoolbook" w:cs="Century Schoolbook"/>
          <w:smallCaps/>
        </w:rPr>
      </w:pPr>
    </w:p>
    <w:p w14:paraId="42549716" w14:textId="77777777" w:rsidR="005231DD" w:rsidRDefault="005231DD">
      <w:pPr>
        <w:spacing w:line="360" w:lineRule="auto"/>
        <w:jc w:val="center"/>
        <w:rPr>
          <w:rFonts w:ascii="Century Schoolbook" w:eastAsia="Century Schoolbook" w:hAnsi="Century Schoolbook" w:cs="Century Schoolbook"/>
          <w:smallCaps/>
        </w:rPr>
      </w:pPr>
    </w:p>
    <w:p w14:paraId="4234FE0F" w14:textId="77777777" w:rsidR="005231DD" w:rsidRDefault="005231DD">
      <w:pPr>
        <w:spacing w:line="360" w:lineRule="auto"/>
        <w:jc w:val="center"/>
        <w:rPr>
          <w:rFonts w:ascii="Century Schoolbook" w:eastAsia="Century Schoolbook" w:hAnsi="Century Schoolbook" w:cs="Century Schoolbook"/>
          <w:smallCaps/>
        </w:rPr>
      </w:pPr>
    </w:p>
    <w:p w14:paraId="060361D7" w14:textId="77777777" w:rsidR="005231DD" w:rsidRDefault="005231DD">
      <w:pPr>
        <w:spacing w:line="360" w:lineRule="auto"/>
        <w:jc w:val="center"/>
        <w:rPr>
          <w:rFonts w:ascii="Century Schoolbook" w:eastAsia="Century Schoolbook" w:hAnsi="Century Schoolbook" w:cs="Century Schoolbook"/>
          <w:smallCaps/>
        </w:rPr>
      </w:pPr>
    </w:p>
    <w:p w14:paraId="4ACD2728" w14:textId="77777777" w:rsidR="005231DD" w:rsidRDefault="005231DD">
      <w:pPr>
        <w:spacing w:line="360" w:lineRule="auto"/>
        <w:jc w:val="center"/>
        <w:rPr>
          <w:rFonts w:ascii="Century Schoolbook" w:eastAsia="Century Schoolbook" w:hAnsi="Century Schoolbook" w:cs="Century Schoolbook"/>
          <w:smallCaps/>
        </w:rPr>
      </w:pPr>
    </w:p>
    <w:p w14:paraId="3B641042" w14:textId="77777777" w:rsidR="005231DD" w:rsidRDefault="005231DD">
      <w:pPr>
        <w:spacing w:line="360" w:lineRule="auto"/>
        <w:jc w:val="center"/>
        <w:rPr>
          <w:rFonts w:ascii="Century Schoolbook" w:eastAsia="Century Schoolbook" w:hAnsi="Century Schoolbook" w:cs="Century Schoolbook"/>
          <w:smallCaps/>
        </w:rPr>
      </w:pPr>
    </w:p>
    <w:p w14:paraId="08D08EF1" w14:textId="77777777" w:rsidR="005231DD" w:rsidRDefault="005231DD">
      <w:pPr>
        <w:spacing w:line="360" w:lineRule="auto"/>
        <w:jc w:val="center"/>
        <w:rPr>
          <w:rFonts w:ascii="Century Schoolbook" w:eastAsia="Century Schoolbook" w:hAnsi="Century Schoolbook" w:cs="Century Schoolbook"/>
          <w:smallCaps/>
        </w:rPr>
      </w:pPr>
    </w:p>
    <w:p w14:paraId="44087AA8" w14:textId="77777777" w:rsidR="005231DD" w:rsidRDefault="005231DD">
      <w:pPr>
        <w:spacing w:line="360" w:lineRule="auto"/>
        <w:rPr>
          <w:rFonts w:ascii="Century Schoolbook" w:eastAsia="Century Schoolbook" w:hAnsi="Century Schoolbook" w:cs="Century Schoolbook"/>
          <w:smallCaps/>
        </w:rPr>
      </w:pPr>
    </w:p>
    <w:p w14:paraId="14566756" w14:textId="77777777" w:rsidR="005231DD" w:rsidRDefault="00D73797">
      <w:pPr>
        <w:spacing w:line="360" w:lineRule="auto"/>
        <w:jc w:val="center"/>
        <w:rPr>
          <w:rFonts w:ascii="Century Schoolbook" w:eastAsia="Century Schoolbook" w:hAnsi="Century Schoolbook" w:cs="Century Schoolbook"/>
          <w:smallCaps/>
          <w:sz w:val="22"/>
          <w:szCs w:val="22"/>
        </w:rPr>
      </w:pPr>
      <w:r>
        <w:rPr>
          <w:rFonts w:ascii="Century Schoolbook" w:eastAsia="Century Schoolbook" w:hAnsi="Century Schoolbook" w:cs="Century Schoolbook"/>
          <w:smallCaps/>
          <w:sz w:val="22"/>
          <w:szCs w:val="22"/>
        </w:rPr>
        <w:t>Scheda AIR</w:t>
      </w:r>
    </w:p>
    <w:p w14:paraId="51C6FBB9" w14:textId="77777777" w:rsidR="005231DD" w:rsidRDefault="00D73797">
      <w:pPr>
        <w:spacing w:line="360" w:lineRule="auto"/>
        <w:jc w:val="center"/>
        <w:rPr>
          <w:rFonts w:ascii="Century Schoolbook" w:eastAsia="Century Schoolbook" w:hAnsi="Century Schoolbook" w:cs="Century Schoolbook"/>
          <w:smallCaps/>
          <w:sz w:val="22"/>
          <w:szCs w:val="22"/>
        </w:rPr>
      </w:pPr>
      <w:r>
        <w:rPr>
          <w:rFonts w:ascii="Century Schoolbook" w:eastAsia="Century Schoolbook" w:hAnsi="Century Schoolbook" w:cs="Century Schoolbook"/>
          <w:smallCaps/>
          <w:sz w:val="22"/>
          <w:szCs w:val="22"/>
        </w:rPr>
        <w:t>Analisi di Impatto della Regolamentazione</w:t>
      </w:r>
    </w:p>
    <w:p w14:paraId="59B3CBDC" w14:textId="77777777" w:rsidR="005231DD" w:rsidRDefault="00D73797">
      <w:pPr>
        <w:spacing w:after="160" w:line="259" w:lineRule="auto"/>
        <w:rPr>
          <w:rFonts w:ascii="Century Schoolbook" w:eastAsia="Century Schoolbook" w:hAnsi="Century Schoolbook" w:cs="Century Schoolbook"/>
          <w:smallCaps/>
        </w:rPr>
      </w:pPr>
      <w:r>
        <w:br w:type="page"/>
      </w:r>
    </w:p>
    <w:p w14:paraId="61A0A716" w14:textId="77777777" w:rsidR="005231DD" w:rsidRDefault="00D73797">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b/>
        </w:rPr>
        <w:lastRenderedPageBreak/>
        <w:t>SOMMARIO</w:t>
      </w:r>
    </w:p>
    <w:p w14:paraId="6B36F3F8" w14:textId="77777777" w:rsidR="005231DD" w:rsidRDefault="00D73797">
      <w:pPr>
        <w:spacing w:before="240"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1 - Contesto e obiettivi dell’intervento di regolamentazione</w:t>
      </w:r>
    </w:p>
    <w:p w14:paraId="363A7066" w14:textId="77777777" w:rsidR="005231DD" w:rsidRDefault="00D73797">
      <w:pPr>
        <w:numPr>
          <w:ilvl w:val="0"/>
          <w:numId w:val="5"/>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La rappresentazione del problema da risolvere e delle criticità constatate, anche con riferimento al contesto internazionale ed europeo, nonché delle esigenze sociali ed economiche consid</w:t>
      </w:r>
      <w:r>
        <w:rPr>
          <w:rFonts w:ascii="Century Schoolbook" w:eastAsia="Century Schoolbook" w:hAnsi="Century Schoolbook" w:cs="Century Schoolbook"/>
          <w:i/>
          <w:color w:val="000000"/>
          <w:sz w:val="22"/>
          <w:szCs w:val="22"/>
        </w:rPr>
        <w:t>erate</w:t>
      </w:r>
    </w:p>
    <w:p w14:paraId="7AF6C3E8" w14:textId="77777777" w:rsidR="005231DD" w:rsidRDefault="00D73797">
      <w:pPr>
        <w:numPr>
          <w:ilvl w:val="0"/>
          <w:numId w:val="5"/>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Indicazione degli obiettivi perseguiti con l’intervento normativo</w:t>
      </w:r>
    </w:p>
    <w:p w14:paraId="67C686BA" w14:textId="77777777" w:rsidR="005231DD" w:rsidRDefault="00D73797">
      <w:pPr>
        <w:numPr>
          <w:ilvl w:val="0"/>
          <w:numId w:val="5"/>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Descrizione degli indicatori che consentono di verificare il grado di raggiungimento degli obiettivi indicati e di monitorare l’attuazione dell’intervento nell’ambito della VIR</w:t>
      </w:r>
    </w:p>
    <w:p w14:paraId="462B79B1" w14:textId="77777777" w:rsidR="005231DD" w:rsidRDefault="00D73797">
      <w:pPr>
        <w:numPr>
          <w:ilvl w:val="0"/>
          <w:numId w:val="5"/>
        </w:numPr>
        <w:pBdr>
          <w:top w:val="nil"/>
          <w:left w:val="nil"/>
          <w:bottom w:val="nil"/>
          <w:right w:val="nil"/>
          <w:between w:val="nil"/>
        </w:pBdr>
        <w:spacing w:after="240"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Indicazione delle categorie dei soggetti, pubblici e privati, destinatari dei p</w:t>
      </w:r>
      <w:r>
        <w:rPr>
          <w:rFonts w:ascii="Century Schoolbook" w:eastAsia="Century Schoolbook" w:hAnsi="Century Schoolbook" w:cs="Century Schoolbook"/>
          <w:i/>
          <w:color w:val="000000"/>
          <w:sz w:val="22"/>
          <w:szCs w:val="22"/>
        </w:rPr>
        <w:t>rincipali effetti dell’intervento regolatorio</w:t>
      </w:r>
    </w:p>
    <w:p w14:paraId="0CE85944" w14:textId="77777777" w:rsidR="005231DD" w:rsidRDefault="00D737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2 - Procedure di consultazione precedenti l’intervento</w:t>
      </w:r>
    </w:p>
    <w:p w14:paraId="48B530A3" w14:textId="77777777" w:rsidR="005231DD" w:rsidRDefault="00D737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3 - Valutazione dell’opzione di non intervento di regolamentazione (opzione zero)</w:t>
      </w:r>
    </w:p>
    <w:p w14:paraId="6A17BA20" w14:textId="77777777" w:rsidR="005231DD" w:rsidRDefault="00D737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4 - Opzioni alternative all’intervento regolatori</w:t>
      </w:r>
      <w:r>
        <w:rPr>
          <w:rFonts w:ascii="Century Schoolbook" w:eastAsia="Century Schoolbook" w:hAnsi="Century Schoolbook" w:cs="Century Schoolbook"/>
          <w:sz w:val="22"/>
          <w:szCs w:val="22"/>
        </w:rPr>
        <w:t>o</w:t>
      </w:r>
    </w:p>
    <w:p w14:paraId="2B4C4075" w14:textId="77777777" w:rsidR="005231DD" w:rsidRDefault="00D737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5 - Giustificazione dell’opzione regolatoria proposta e valutazione degli oneri amministrativi e dell’impatto sulle PMI</w:t>
      </w:r>
    </w:p>
    <w:p w14:paraId="27519263" w14:textId="77777777" w:rsidR="005231DD" w:rsidRDefault="00D73797">
      <w:pPr>
        <w:numPr>
          <w:ilvl w:val="0"/>
          <w:numId w:val="3"/>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Svantaggi e vantaggi dell’opzione prescelta per i destinatari diretti e indiretti</w:t>
      </w:r>
    </w:p>
    <w:p w14:paraId="7F69972F" w14:textId="77777777" w:rsidR="005231DD" w:rsidRDefault="00D73797">
      <w:pPr>
        <w:numPr>
          <w:ilvl w:val="0"/>
          <w:numId w:val="3"/>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Individuazione e stima degli effetti dell’opzione prescelta sulle micro, piccole e medie imprese</w:t>
      </w:r>
    </w:p>
    <w:p w14:paraId="10D9E142" w14:textId="77777777" w:rsidR="005231DD" w:rsidRDefault="00D73797">
      <w:pPr>
        <w:numPr>
          <w:ilvl w:val="0"/>
          <w:numId w:val="3"/>
        </w:numPr>
        <w:pBdr>
          <w:top w:val="nil"/>
          <w:left w:val="nil"/>
          <w:bottom w:val="nil"/>
          <w:right w:val="nil"/>
          <w:between w:val="nil"/>
        </w:pBdr>
        <w:spacing w:after="240" w:line="276" w:lineRule="auto"/>
        <w:jc w:val="both"/>
        <w:rPr>
          <w:rFonts w:ascii="Century Schoolbook" w:eastAsia="Century Schoolbook" w:hAnsi="Century Schoolbook" w:cs="Century Schoolbook"/>
          <w:i/>
          <w:sz w:val="22"/>
          <w:szCs w:val="22"/>
        </w:rPr>
      </w:pPr>
      <w:r>
        <w:rPr>
          <w:rFonts w:ascii="Century Schoolbook" w:eastAsia="Century Schoolbook" w:hAnsi="Century Schoolbook" w:cs="Century Schoolbook"/>
          <w:i/>
          <w:sz w:val="22"/>
          <w:szCs w:val="22"/>
        </w:rPr>
        <w:t>Indicazione e stima degli oneri informativi e dei relativi costi amministrati</w:t>
      </w:r>
      <w:r>
        <w:rPr>
          <w:rFonts w:ascii="Century Schoolbook" w:eastAsia="Century Schoolbook" w:hAnsi="Century Schoolbook" w:cs="Century Schoolbook"/>
          <w:i/>
          <w:sz w:val="22"/>
          <w:szCs w:val="22"/>
        </w:rPr>
        <w:t>vi, introdotti o eliminati a carico di cittadini e imprese. Per onere informativo si intende qualunque tipologia di adempimento comportante raccolta, elaborazione, trasmissione, conservazione e produzione di informazioni, comunicazioni e documenti alla pub</w:t>
      </w:r>
      <w:r>
        <w:rPr>
          <w:rFonts w:ascii="Century Schoolbook" w:eastAsia="Century Schoolbook" w:hAnsi="Century Schoolbook" w:cs="Century Schoolbook"/>
          <w:i/>
          <w:sz w:val="22"/>
          <w:szCs w:val="22"/>
        </w:rPr>
        <w:t>blica amministrazione</w:t>
      </w:r>
    </w:p>
    <w:p w14:paraId="11A36C22" w14:textId="77777777" w:rsidR="005231DD" w:rsidRDefault="00D737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6 - Incidenza sul corretto funzionamento concorrenziale del mercato e sulla competitività regionale, nonché sulle politiche giovanili</w:t>
      </w:r>
    </w:p>
    <w:p w14:paraId="45780EF2" w14:textId="77777777" w:rsidR="005231DD" w:rsidRDefault="00D737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7 - Modalità attuative dell’intervento di regolamentazione</w:t>
      </w:r>
    </w:p>
    <w:p w14:paraId="29E23567" w14:textId="77777777" w:rsidR="005231DD" w:rsidRDefault="00D73797">
      <w:pPr>
        <w:numPr>
          <w:ilvl w:val="0"/>
          <w:numId w:val="6"/>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Soggetti responsabili del</w:t>
      </w:r>
      <w:r>
        <w:rPr>
          <w:rFonts w:ascii="Century Schoolbook" w:eastAsia="Century Schoolbook" w:hAnsi="Century Schoolbook" w:cs="Century Schoolbook"/>
          <w:i/>
          <w:color w:val="000000"/>
          <w:sz w:val="22"/>
          <w:szCs w:val="22"/>
        </w:rPr>
        <w:t>l’attuazione dell’intervento regolatorio</w:t>
      </w:r>
    </w:p>
    <w:p w14:paraId="662781F0" w14:textId="77777777" w:rsidR="005231DD" w:rsidRDefault="00D73797">
      <w:pPr>
        <w:numPr>
          <w:ilvl w:val="0"/>
          <w:numId w:val="6"/>
        </w:numPr>
        <w:pBdr>
          <w:top w:val="nil"/>
          <w:left w:val="nil"/>
          <w:bottom w:val="nil"/>
          <w:right w:val="nil"/>
          <w:between w:val="nil"/>
        </w:pBdr>
        <w:spacing w:line="276" w:lineRule="auto"/>
        <w:jc w:val="both"/>
        <w:rPr>
          <w:rFonts w:ascii="Century Schoolbook" w:eastAsia="Century Schoolbook" w:hAnsi="Century Schoolbook" w:cs="Century Schoolbook"/>
          <w:i/>
          <w:sz w:val="22"/>
          <w:szCs w:val="22"/>
        </w:rPr>
      </w:pPr>
      <w:r>
        <w:rPr>
          <w:rFonts w:ascii="Century Schoolbook" w:eastAsia="Century Schoolbook" w:hAnsi="Century Schoolbook" w:cs="Century Schoolbook"/>
          <w:i/>
          <w:sz w:val="22"/>
          <w:szCs w:val="22"/>
        </w:rPr>
        <w:t xml:space="preserve">Azioni per la pubblicità e per l’informazione dell’intervento </w:t>
      </w:r>
    </w:p>
    <w:p w14:paraId="14B0C602" w14:textId="77777777" w:rsidR="005231DD" w:rsidRDefault="00D73797">
      <w:pPr>
        <w:numPr>
          <w:ilvl w:val="0"/>
          <w:numId w:val="6"/>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Strumenti e modalità per il controllo e il monitoraggio dell’intervento regolatorio</w:t>
      </w:r>
    </w:p>
    <w:p w14:paraId="5CA8EAD4" w14:textId="77777777" w:rsidR="005231DD" w:rsidRDefault="00D73797">
      <w:pPr>
        <w:numPr>
          <w:ilvl w:val="0"/>
          <w:numId w:val="6"/>
        </w:numPr>
        <w:pBdr>
          <w:top w:val="nil"/>
          <w:left w:val="nil"/>
          <w:bottom w:val="nil"/>
          <w:right w:val="nil"/>
          <w:between w:val="nil"/>
        </w:pBdr>
        <w:spacing w:after="240"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Meccanismi previsti per la revisione dell’intervento regolatorio</w:t>
      </w:r>
    </w:p>
    <w:p w14:paraId="5745B862" w14:textId="77777777" w:rsidR="005231DD" w:rsidRDefault="00D73797">
      <w:pPr>
        <w:spacing w:line="276" w:lineRule="auto"/>
        <w:jc w:val="both"/>
        <w:rPr>
          <w:rFonts w:ascii="Century Schoolbook" w:eastAsia="Century Schoolbook" w:hAnsi="Century Schoolbook" w:cs="Century Schoolbook"/>
          <w:b/>
          <w:sz w:val="22"/>
          <w:szCs w:val="22"/>
        </w:rPr>
      </w:pPr>
      <w:r>
        <w:rPr>
          <w:rFonts w:ascii="Century Schoolbook" w:eastAsia="Century Schoolbook" w:hAnsi="Century Schoolbook" w:cs="Century Schoolbook"/>
          <w:sz w:val="22"/>
          <w:szCs w:val="22"/>
        </w:rPr>
        <w:t>SEZIONE 8 - Rispetto dei livelli minimi di regolazione europea</w:t>
      </w:r>
      <w:r>
        <w:br w:type="page"/>
      </w:r>
    </w:p>
    <w:p w14:paraId="28BF5AA0"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lastRenderedPageBreak/>
        <w:t>________________________________________________________________________________</w:t>
      </w:r>
    </w:p>
    <w:p w14:paraId="5004697E" w14:textId="77777777" w:rsidR="005231DD" w:rsidRDefault="00D737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1</w:t>
      </w:r>
    </w:p>
    <w:p w14:paraId="544FD78C"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Contesto e obiettivi dell’intervento di regolamentazione</w:t>
      </w:r>
    </w:p>
    <w:p w14:paraId="160CE85C" w14:textId="77777777" w:rsidR="005231DD" w:rsidRDefault="00D737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083AC460" w14:textId="77777777" w:rsidR="005231DD" w:rsidRDefault="00D73797">
      <w:pPr>
        <w:numPr>
          <w:ilvl w:val="0"/>
          <w:numId w:val="7"/>
        </w:numPr>
        <w:pBdr>
          <w:top w:val="nil"/>
          <w:left w:val="nil"/>
          <w:bottom w:val="nil"/>
          <w:right w:val="nil"/>
          <w:between w:val="nil"/>
        </w:pBdr>
        <w:spacing w:after="20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La rappresentazione del problema da risolvere e delle criticità constatate, anche con riferimento al contesto internaz</w:t>
      </w:r>
      <w:r>
        <w:rPr>
          <w:rFonts w:ascii="Century Schoolbook" w:eastAsia="Century Schoolbook" w:hAnsi="Century Schoolbook" w:cs="Century Schoolbook"/>
          <w:b/>
          <w:i/>
          <w:color w:val="000000"/>
          <w:sz w:val="22"/>
          <w:szCs w:val="22"/>
        </w:rPr>
        <w:t>ionale ed europeo, nonché delle esigenze sociali ed economiche considerate</w:t>
      </w:r>
    </w:p>
    <w:p w14:paraId="518C5E22" w14:textId="77777777" w:rsidR="005231DD" w:rsidRDefault="00D73797">
      <w:pP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La Commissione Europea, nell’ultimo decennio, ha mostrato una crescente attenzione nei confronti dei c.d. </w:t>
      </w:r>
      <w:r>
        <w:rPr>
          <w:rFonts w:ascii="Century Schoolbook" w:eastAsia="Century Schoolbook" w:hAnsi="Century Schoolbook" w:cs="Century Schoolbook"/>
          <w:i/>
          <w:sz w:val="22"/>
          <w:szCs w:val="22"/>
        </w:rPr>
        <w:t xml:space="preserve">homeless; </w:t>
      </w:r>
      <w:r>
        <w:rPr>
          <w:rFonts w:ascii="Century Schoolbook" w:eastAsia="Century Schoolbook" w:hAnsi="Century Schoolbook" w:cs="Century Schoolbook"/>
          <w:sz w:val="22"/>
          <w:szCs w:val="22"/>
        </w:rPr>
        <w:t>l’aggravarsi e il diffondersi delle condizioni di marginalità pro</w:t>
      </w:r>
      <w:r>
        <w:rPr>
          <w:rFonts w:ascii="Century Schoolbook" w:eastAsia="Century Schoolbook" w:hAnsi="Century Schoolbook" w:cs="Century Schoolbook"/>
          <w:sz w:val="22"/>
          <w:szCs w:val="22"/>
        </w:rPr>
        <w:t>dotte dalla crisi economica, in uno con il successivo divampare dell’emergenza sanitaria legata al Covid-19, hanno reso ancora più urgente la necessità di adottare misure di prevenzione e strategie di lungo periodo in grado di fornire risposte al fenomeno.</w:t>
      </w:r>
    </w:p>
    <w:p w14:paraId="11040E3A" w14:textId="77777777" w:rsidR="005231DD" w:rsidRDefault="00D73797">
      <w:pP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Più di recente, con una risoluzione approvata il 24 novembre 2020, il Parlamento Europeo ha richiesto alle altre Istituzioni europee e agli Stati membri di porre fine al fenomeno dei senzatetto entro il 2030, raccomandando la creazione di un quadro comuni</w:t>
      </w:r>
      <w:r>
        <w:rPr>
          <w:rFonts w:ascii="Century Schoolbook" w:eastAsia="Century Schoolbook" w:hAnsi="Century Schoolbook" w:cs="Century Schoolbook"/>
          <w:sz w:val="22"/>
          <w:szCs w:val="22"/>
        </w:rPr>
        <w:t>tario di strategie nazionali, che garantiscano,  in modo particolare, la parità di accesso a servizi pubblici come l’assistenza sanitaria e il diritto all’istruzione, nonché l’inserimento e l’integrazione nel mercato del lavoro attraverso specifici program</w:t>
      </w:r>
      <w:r>
        <w:rPr>
          <w:rFonts w:ascii="Century Schoolbook" w:eastAsia="Century Schoolbook" w:hAnsi="Century Schoolbook" w:cs="Century Schoolbook"/>
          <w:sz w:val="22"/>
          <w:szCs w:val="22"/>
        </w:rPr>
        <w:t>mi di occupazione e di formazione.</w:t>
      </w:r>
    </w:p>
    <w:p w14:paraId="63A292AC" w14:textId="77777777" w:rsidR="005231DD" w:rsidRDefault="00D73797">
      <w:pP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In Italia, è stata l’ISTAT ad annunciare la volontà di giungere, con il nuovo Censimento, a una più precisa identificazione delle persone senza fissa dimora presenti sul territorio nazionale, nell’ambito di un bacino pote</w:t>
      </w:r>
      <w:r>
        <w:rPr>
          <w:rFonts w:ascii="Century Schoolbook" w:eastAsia="Century Schoolbook" w:hAnsi="Century Schoolbook" w:cs="Century Schoolbook"/>
          <w:sz w:val="22"/>
          <w:szCs w:val="22"/>
        </w:rPr>
        <w:t xml:space="preserve">nziale di poco più di 500.000 persone, nel tentativo di colmare il deficit informativo relativo a questa specifica categoria di persone. </w:t>
      </w:r>
    </w:p>
    <w:p w14:paraId="6EE1B4E3" w14:textId="77777777" w:rsidR="005231DD" w:rsidRDefault="00D73797">
      <w:pP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L’ultimo censimento, risalente al 2011, aveva infatti rilevato circa 125.000 persone in altro tipo di alloggio (campi </w:t>
      </w:r>
      <w:r>
        <w:rPr>
          <w:rFonts w:ascii="Century Schoolbook" w:eastAsia="Century Schoolbook" w:hAnsi="Century Schoolbook" w:cs="Century Schoolbook"/>
          <w:sz w:val="22"/>
          <w:szCs w:val="22"/>
        </w:rPr>
        <w:t>attrezzati, baracche, garage e nelle situazioni di fortuna), tra cui circa 35.000 senzatetto. Nel 2014, grazie a una convenzione tra ISTAT, Ministero del Lavoro e delle Politiche sociali, Federazione italiana degli organismi per le persone senza dimora e C</w:t>
      </w:r>
      <w:r>
        <w:rPr>
          <w:rFonts w:ascii="Century Schoolbook" w:eastAsia="Century Schoolbook" w:hAnsi="Century Schoolbook" w:cs="Century Schoolbook"/>
          <w:sz w:val="22"/>
          <w:szCs w:val="22"/>
        </w:rPr>
        <w:t>aritas Italiana, è stata realizzata in 158 comuni un’indagine sulla condizione delle persone in situazioni di povertà estrema. Da questa indagine è emerso che, nei mesi di novembre e dicembre 2014, 50.724 persone avevano utilizzato almeno un servizio di me</w:t>
      </w:r>
      <w:r>
        <w:rPr>
          <w:rFonts w:ascii="Century Schoolbook" w:eastAsia="Century Schoolbook" w:hAnsi="Century Schoolbook" w:cs="Century Schoolbook"/>
          <w:sz w:val="22"/>
          <w:szCs w:val="22"/>
        </w:rPr>
        <w:t>nsa o accoglienza notturna (2,43 per mille della popolazione regolarmente iscritta presso i comuni considerati), con un valore in aumento rispetto a tre anni prima, quando ci si era attestati sul 2,31 per mille (47.648 persone). Inoltre, secondo quanto è e</w:t>
      </w:r>
      <w:r>
        <w:rPr>
          <w:rFonts w:ascii="Century Schoolbook" w:eastAsia="Century Schoolbook" w:hAnsi="Century Schoolbook" w:cs="Century Schoolbook"/>
          <w:sz w:val="22"/>
          <w:szCs w:val="22"/>
        </w:rPr>
        <w:t>merso dall’indagine nazionale dall’Osservatorio della Federazione Italiana Organismi per le Persone Senza Dimora - fio.PSD sui profili dei senzatetto accolti dai servizi loro associati, negli ultimi anni si è registrato un aumento di fasce diversificate di</w:t>
      </w:r>
      <w:r>
        <w:rPr>
          <w:rFonts w:ascii="Century Schoolbook" w:eastAsia="Century Schoolbook" w:hAnsi="Century Schoolbook" w:cs="Century Schoolbook"/>
          <w:sz w:val="22"/>
          <w:szCs w:val="22"/>
        </w:rPr>
        <w:t xml:space="preserve"> popolazione particolarmente vulnerabili ed esposte al rischio di povertà, fra cui donne e giovani di età compresa tra i 18 e i 35 anni. Nello specifico, più di 6 persone accolte su 10 presentano problemi giudiziari o problemi legati al permesso di soggior</w:t>
      </w:r>
      <w:r>
        <w:rPr>
          <w:rFonts w:ascii="Century Schoolbook" w:eastAsia="Century Schoolbook" w:hAnsi="Century Schoolbook" w:cs="Century Schoolbook"/>
          <w:sz w:val="22"/>
          <w:szCs w:val="22"/>
        </w:rPr>
        <w:t xml:space="preserve">no; numerosi sono anche i nuclei familiari, mentre 5 su 10 sono le persone con problemi di abuso di sostanze. In più di 4 casi su 10 si tratta inoltre di donne vittime di violenza, mentre 3 su 10 sono le persone vittime di discriminazione di genere e 2 su </w:t>
      </w:r>
      <w:r>
        <w:rPr>
          <w:rFonts w:ascii="Century Schoolbook" w:eastAsia="Century Schoolbook" w:hAnsi="Century Schoolbook" w:cs="Century Schoolbook"/>
          <w:sz w:val="22"/>
          <w:szCs w:val="22"/>
        </w:rPr>
        <w:t>10 i minori stranieri non accompagnati.</w:t>
      </w:r>
    </w:p>
    <w:p w14:paraId="63E55196" w14:textId="77777777" w:rsidR="005231DD" w:rsidRDefault="00D73797">
      <w:pP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In relazione alla realtà campana, le più recenti attività di monitoraggio hanno riguardato in modo particolare la città di Napoli, con una presenza stimata di almeno 1800 senzatetto sul territorio comunale.</w:t>
      </w:r>
    </w:p>
    <w:p w14:paraId="6F77E1B3" w14:textId="77777777" w:rsidR="005231DD" w:rsidRDefault="00D73797">
      <w:pPr>
        <w:numPr>
          <w:ilvl w:val="0"/>
          <w:numId w:val="7"/>
        </w:numPr>
        <w:pBdr>
          <w:top w:val="nil"/>
          <w:left w:val="nil"/>
          <w:bottom w:val="nil"/>
          <w:right w:val="nil"/>
          <w:between w:val="nil"/>
        </w:pBdr>
        <w:spacing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Indicazione degli obiettivi perseguiti con l’intervento normativo</w:t>
      </w:r>
    </w:p>
    <w:p w14:paraId="651A73AE" w14:textId="77777777" w:rsidR="005231DD" w:rsidRDefault="00D73797">
      <w:p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L’obiettivo dell’intervento normativo è quello di garantire ai cittadini italiani senza dimora, che vivono sul territorio regionale, un esercizio effettivo del diritto alla salute. Come è no</w:t>
      </w:r>
      <w:r>
        <w:rPr>
          <w:rFonts w:ascii="Century Schoolbook" w:eastAsia="Century Schoolbook" w:hAnsi="Century Schoolbook" w:cs="Century Schoolbook"/>
          <w:sz w:val="22"/>
          <w:szCs w:val="22"/>
        </w:rPr>
        <w:t>to, la legge n. 833 del 1978, istitutiva del Servizio Sanitario Nazionale, individua nella residenza il criterio normale di collegamento tra utente e ASL. Alla persona sprovvista di residenza è quindi di fatto precluso un pieno esercizio del diritto alla s</w:t>
      </w:r>
      <w:r>
        <w:rPr>
          <w:rFonts w:ascii="Century Schoolbook" w:eastAsia="Century Schoolbook" w:hAnsi="Century Schoolbook" w:cs="Century Schoolbook"/>
          <w:sz w:val="22"/>
          <w:szCs w:val="22"/>
        </w:rPr>
        <w:t>alute, poiché l’articolo 19 della citata legge stabilisce che per accedere alle prestazioni del SSN occorre essere iscritti in appositi elenchi presso l’ASL nel cui territorio l’utente ha fissato la sua residenza (è prevista la possibilità di accedere ai s</w:t>
      </w:r>
      <w:r>
        <w:rPr>
          <w:rFonts w:ascii="Century Schoolbook" w:eastAsia="Century Schoolbook" w:hAnsi="Century Schoolbook" w:cs="Century Schoolbook"/>
          <w:sz w:val="22"/>
          <w:szCs w:val="22"/>
        </w:rPr>
        <w:t>ervizi di assistenza di qualsiasi ASL del territorio nazionale, ma solo ove sussistano motivate ragioni, nei casi di urgenza, ovvero in caso di temporanea dimora in luogo diverso da quello abituale). Questo comporta che le persone senza fissa dimora, non p</w:t>
      </w:r>
      <w:r>
        <w:rPr>
          <w:rFonts w:ascii="Century Schoolbook" w:eastAsia="Century Schoolbook" w:hAnsi="Century Schoolbook" w:cs="Century Schoolbook"/>
          <w:sz w:val="22"/>
          <w:szCs w:val="22"/>
        </w:rPr>
        <w:t>otendo essere iscritte al SSN, non possono esercitare la facoltà di scelta del medico di base. La loro assistenza è assicurata solo dagli ambulatori gestiti da medici volontari e l’ospedalizzazione è circoscritta alla gestione delle situazioni di emergenza</w:t>
      </w:r>
      <w:r>
        <w:rPr>
          <w:rFonts w:ascii="Century Schoolbook" w:eastAsia="Century Schoolbook" w:hAnsi="Century Schoolbook" w:cs="Century Schoolbook"/>
          <w:sz w:val="22"/>
          <w:szCs w:val="22"/>
        </w:rPr>
        <w:t>, attraverso le prestazioni erogate dal servizio di pronto soccorso.</w:t>
      </w:r>
    </w:p>
    <w:p w14:paraId="42D4CA87" w14:textId="77777777" w:rsidR="005231DD" w:rsidRDefault="005231DD">
      <w:pPr>
        <w:spacing w:line="276" w:lineRule="auto"/>
        <w:jc w:val="both"/>
        <w:rPr>
          <w:rFonts w:ascii="Century Schoolbook" w:eastAsia="Century Schoolbook" w:hAnsi="Century Schoolbook" w:cs="Century Schoolbook"/>
          <w:sz w:val="22"/>
          <w:szCs w:val="22"/>
        </w:rPr>
      </w:pPr>
    </w:p>
    <w:p w14:paraId="786A8198" w14:textId="77777777" w:rsidR="005231DD" w:rsidRDefault="00D73797">
      <w:pPr>
        <w:numPr>
          <w:ilvl w:val="0"/>
          <w:numId w:val="7"/>
        </w:numPr>
        <w:pBdr>
          <w:top w:val="nil"/>
          <w:left w:val="nil"/>
          <w:bottom w:val="nil"/>
          <w:right w:val="nil"/>
          <w:between w:val="nil"/>
        </w:pBdr>
        <w:spacing w:after="24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Descrizione degli indicatori che consentono di verificare il grado di raggiungimento degli obiettivi indicati e di monitorare l’attuazione dell’intervento nell’ambito della VIR</w:t>
      </w:r>
    </w:p>
    <w:p w14:paraId="28FA9B48" w14:textId="77777777" w:rsidR="005231DD" w:rsidRDefault="00D73797">
      <w:p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Tra i principali indicatori che consentiranno di verificare il grado di raggiungimento degli obiettivi vi sono:</w:t>
      </w:r>
    </w:p>
    <w:p w14:paraId="3123E4C3" w14:textId="77777777" w:rsidR="005231DD" w:rsidRDefault="00D73797">
      <w:pPr>
        <w:numPr>
          <w:ilvl w:val="0"/>
          <w:numId w:val="1"/>
        </w:numPr>
        <w:pBdr>
          <w:top w:val="nil"/>
          <w:left w:val="nil"/>
          <w:bottom w:val="nil"/>
          <w:right w:val="nil"/>
          <w:between w:val="nil"/>
        </w:pBdr>
        <w:spacing w:line="276" w:lineRule="auto"/>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il numero delle persone senza fissa dimora iscritte al SSR in ciascuna ASL a seguito dell’entrata in vigore della legge;</w:t>
      </w:r>
    </w:p>
    <w:p w14:paraId="490BCAE1" w14:textId="77777777" w:rsidR="005231DD" w:rsidRDefault="00D73797">
      <w:pPr>
        <w:numPr>
          <w:ilvl w:val="0"/>
          <w:numId w:val="1"/>
        </w:numPr>
        <w:pBdr>
          <w:top w:val="nil"/>
          <w:left w:val="nil"/>
          <w:bottom w:val="nil"/>
          <w:right w:val="nil"/>
          <w:between w:val="nil"/>
        </w:pBdr>
        <w:spacing w:line="276" w:lineRule="auto"/>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il numero delle persone</w:t>
      </w:r>
      <w:r>
        <w:rPr>
          <w:rFonts w:ascii="Century Schoolbook" w:eastAsia="Century Schoolbook" w:hAnsi="Century Schoolbook" w:cs="Century Schoolbook"/>
          <w:sz w:val="22"/>
          <w:szCs w:val="22"/>
        </w:rPr>
        <w:t xml:space="preserve"> senza fissa dimora che abbiano effettuato la scelta del Medico di Medicina generale a seguito dell’entrata in vigore del provvedimento;</w:t>
      </w:r>
    </w:p>
    <w:p w14:paraId="647302DC" w14:textId="77777777" w:rsidR="005231DD" w:rsidRDefault="00D73797">
      <w:pPr>
        <w:numPr>
          <w:ilvl w:val="0"/>
          <w:numId w:val="1"/>
        </w:numPr>
        <w:pBdr>
          <w:top w:val="nil"/>
          <w:left w:val="nil"/>
          <w:bottom w:val="nil"/>
          <w:right w:val="nil"/>
          <w:between w:val="nil"/>
        </w:pBdr>
        <w:spacing w:after="200" w:line="276" w:lineRule="auto"/>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il numero e la tipologia delle prestazioni erogate a favore delle persone senza fissa dimora in seguito all’entrata in </w:t>
      </w:r>
      <w:r>
        <w:rPr>
          <w:rFonts w:ascii="Century Schoolbook" w:eastAsia="Century Schoolbook" w:hAnsi="Century Schoolbook" w:cs="Century Schoolbook"/>
          <w:sz w:val="22"/>
          <w:szCs w:val="22"/>
        </w:rPr>
        <w:t>vigore della normativa regionale.</w:t>
      </w:r>
    </w:p>
    <w:p w14:paraId="2B41AC0E" w14:textId="77777777" w:rsidR="005231DD" w:rsidRDefault="00D73797">
      <w:pPr>
        <w:numPr>
          <w:ilvl w:val="0"/>
          <w:numId w:val="7"/>
        </w:numPr>
        <w:pBdr>
          <w:top w:val="nil"/>
          <w:left w:val="nil"/>
          <w:bottom w:val="nil"/>
          <w:right w:val="nil"/>
          <w:between w:val="nil"/>
        </w:pBdr>
        <w:spacing w:after="24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Indicazione delle categorie dei soggetti, pubblici e privati, destinatari dei principali effetti dell’intervento regolatorio</w:t>
      </w:r>
    </w:p>
    <w:p w14:paraId="117271C7" w14:textId="77777777" w:rsidR="005231DD" w:rsidRDefault="00D73797">
      <w:pPr>
        <w:pBdr>
          <w:top w:val="nil"/>
          <w:left w:val="nil"/>
          <w:bottom w:val="nil"/>
          <w:right w:val="nil"/>
          <w:between w:val="nil"/>
        </w:pBdr>
        <w:spacing w:before="200"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 principali destinatari degli effetti dell’intervento normativo sono i cittadini italiani senza fissa dimora presenti sul territor</w:t>
      </w:r>
      <w:r>
        <w:rPr>
          <w:rFonts w:ascii="Century Schoolbook" w:eastAsia="Century Schoolbook" w:hAnsi="Century Schoolbook" w:cs="Century Schoolbook"/>
          <w:sz w:val="22"/>
          <w:szCs w:val="22"/>
        </w:rPr>
        <w:t>io regionale, che non siano residenti in paesi diversi dall’Italia.</w:t>
      </w:r>
    </w:p>
    <w:p w14:paraId="6E8386DA" w14:textId="77777777" w:rsidR="005231DD" w:rsidRDefault="00D73797">
      <w:pPr>
        <w:pBdr>
          <w:top w:val="nil"/>
          <w:left w:val="nil"/>
          <w:bottom w:val="nil"/>
          <w:right w:val="nil"/>
          <w:between w:val="nil"/>
        </w:pBdr>
        <w:spacing w:before="200"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Destinataria indiretta dell’intervento è la collettività regionale nel suo insieme.</w:t>
      </w:r>
    </w:p>
    <w:p w14:paraId="46D955CD" w14:textId="77777777" w:rsidR="005231DD" w:rsidRDefault="00D73797">
      <w:pPr>
        <w:pBdr>
          <w:top w:val="nil"/>
          <w:left w:val="nil"/>
          <w:bottom w:val="nil"/>
          <w:right w:val="nil"/>
          <w:between w:val="nil"/>
        </w:pBdr>
        <w:spacing w:before="200"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1ABD7603" w14:textId="77777777" w:rsidR="005231DD" w:rsidRDefault="00D737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2</w:t>
      </w:r>
    </w:p>
    <w:p w14:paraId="71651113"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 xml:space="preserve">Procedure di </w:t>
      </w:r>
      <w:r>
        <w:rPr>
          <w:rFonts w:ascii="Century Schoolbook" w:eastAsia="Century Schoolbook" w:hAnsi="Century Schoolbook" w:cs="Century Schoolbook"/>
          <w:b/>
        </w:rPr>
        <w:t>consultazione precedenti l’intervento</w:t>
      </w:r>
    </w:p>
    <w:p w14:paraId="4D4D0AC0" w14:textId="77777777" w:rsidR="005231DD" w:rsidRDefault="00D737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1FA2438A" w14:textId="77777777" w:rsidR="005231DD" w:rsidRDefault="00D73797">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L’intervento normativo non è stato sottoposto a particolari procedure di consultazione, alla luce della possibilità di effettuare una apposita fase di audizione con esperti della materia presso la Commissione consiliare incaricata dell’esame del provvedime</w:t>
      </w:r>
      <w:r>
        <w:rPr>
          <w:rFonts w:ascii="Century Schoolbook" w:eastAsia="Century Schoolbook" w:hAnsi="Century Schoolbook" w:cs="Century Schoolbook"/>
          <w:sz w:val="22"/>
          <w:szCs w:val="22"/>
        </w:rPr>
        <w:t>nto.</w:t>
      </w:r>
    </w:p>
    <w:p w14:paraId="2F05CC2B"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0C764898" w14:textId="77777777" w:rsidR="005231DD" w:rsidRDefault="00D737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3</w:t>
      </w:r>
    </w:p>
    <w:p w14:paraId="30CBA0D3"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Valutazione dell’opzione di non intervento di regolamentazione (opzione zero)</w:t>
      </w:r>
    </w:p>
    <w:p w14:paraId="0EE57B93" w14:textId="77777777" w:rsidR="005231DD" w:rsidRDefault="00D737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14C25D5E" w14:textId="77777777" w:rsidR="005231DD" w:rsidRDefault="00D73797">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zero è stata valutata come non percorribile, in quanto il mancato intervento di regolamentazione non sarebbe in grado di fornire una risposta valida agli obiettivi e alle finalità indicati nella sezione 1. Oltretutto, con l’entrata in vigore dell</w:t>
      </w:r>
      <w:r>
        <w:rPr>
          <w:rFonts w:ascii="Century Schoolbook" w:eastAsia="Century Schoolbook" w:hAnsi="Century Schoolbook" w:cs="Century Schoolbook"/>
          <w:sz w:val="22"/>
          <w:szCs w:val="22"/>
        </w:rPr>
        <w:t>a riforma costituzionale del Titolo V del 2001, le Regioni possono formalizzare i rispettivi modelli di gestione sanitaria, attuando anche politiche espansive nell’ambito delle proprie scelte in materia di Salute.</w:t>
      </w:r>
    </w:p>
    <w:p w14:paraId="7F84A401" w14:textId="77777777" w:rsidR="005231DD" w:rsidRDefault="005231DD">
      <w:pPr>
        <w:spacing w:line="276" w:lineRule="auto"/>
        <w:jc w:val="both"/>
        <w:rPr>
          <w:rFonts w:ascii="Century Schoolbook" w:eastAsia="Century Schoolbook" w:hAnsi="Century Schoolbook" w:cs="Century Schoolbook"/>
          <w:b/>
        </w:rPr>
      </w:pPr>
    </w:p>
    <w:p w14:paraId="1E94B7CC" w14:textId="77777777" w:rsidR="005231DD" w:rsidRDefault="005231DD">
      <w:pPr>
        <w:spacing w:line="276" w:lineRule="auto"/>
        <w:jc w:val="both"/>
        <w:rPr>
          <w:rFonts w:ascii="Century Schoolbook" w:eastAsia="Century Schoolbook" w:hAnsi="Century Schoolbook" w:cs="Century Schoolbook"/>
          <w:b/>
        </w:rPr>
      </w:pPr>
    </w:p>
    <w:p w14:paraId="4A5BC348" w14:textId="77777777" w:rsidR="005231DD" w:rsidRDefault="005231DD">
      <w:pPr>
        <w:spacing w:line="276" w:lineRule="auto"/>
        <w:jc w:val="both"/>
        <w:rPr>
          <w:rFonts w:ascii="Century Schoolbook" w:eastAsia="Century Schoolbook" w:hAnsi="Century Schoolbook" w:cs="Century Schoolbook"/>
          <w:b/>
        </w:rPr>
      </w:pPr>
    </w:p>
    <w:p w14:paraId="3D5F8782" w14:textId="77777777" w:rsidR="005231DD" w:rsidRDefault="005231DD">
      <w:pPr>
        <w:spacing w:line="276" w:lineRule="auto"/>
        <w:jc w:val="both"/>
        <w:rPr>
          <w:rFonts w:ascii="Century Schoolbook" w:eastAsia="Century Schoolbook" w:hAnsi="Century Schoolbook" w:cs="Century Schoolbook"/>
          <w:b/>
        </w:rPr>
      </w:pPr>
    </w:p>
    <w:p w14:paraId="14DE64B7" w14:textId="77777777" w:rsidR="005231DD" w:rsidRDefault="005231DD">
      <w:pPr>
        <w:spacing w:line="276" w:lineRule="auto"/>
        <w:jc w:val="both"/>
        <w:rPr>
          <w:rFonts w:ascii="Century Schoolbook" w:eastAsia="Century Schoolbook" w:hAnsi="Century Schoolbook" w:cs="Century Schoolbook"/>
          <w:b/>
        </w:rPr>
      </w:pPr>
    </w:p>
    <w:p w14:paraId="32CA75D5" w14:textId="77777777" w:rsidR="005231DD" w:rsidRDefault="005231DD">
      <w:pPr>
        <w:spacing w:line="276" w:lineRule="auto"/>
        <w:jc w:val="both"/>
        <w:rPr>
          <w:rFonts w:ascii="Century Schoolbook" w:eastAsia="Century Schoolbook" w:hAnsi="Century Schoolbook" w:cs="Century Schoolbook"/>
          <w:b/>
        </w:rPr>
      </w:pPr>
    </w:p>
    <w:p w14:paraId="1C172C72"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w:t>
      </w:r>
      <w:r>
        <w:rPr>
          <w:rFonts w:ascii="Century Schoolbook" w:eastAsia="Century Schoolbook" w:hAnsi="Century Schoolbook" w:cs="Century Schoolbook"/>
          <w:b/>
        </w:rPr>
        <w:t>____________________________________________</w:t>
      </w:r>
    </w:p>
    <w:p w14:paraId="4010D081" w14:textId="77777777" w:rsidR="005231DD" w:rsidRDefault="00D737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4</w:t>
      </w:r>
    </w:p>
    <w:p w14:paraId="601BBC74"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Opzioni alternative all’intervento regolatorio</w:t>
      </w:r>
    </w:p>
    <w:p w14:paraId="231994F2" w14:textId="77777777" w:rsidR="005231DD" w:rsidRDefault="00D737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2773C37C" w14:textId="77777777" w:rsidR="005231DD" w:rsidRDefault="00D73797">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Non sono configurabili opzioni alternative all’intervento regolatorio, in</w:t>
      </w:r>
      <w:r>
        <w:rPr>
          <w:rFonts w:ascii="Century Schoolbook" w:eastAsia="Century Schoolbook" w:hAnsi="Century Schoolbook" w:cs="Century Schoolbook"/>
          <w:sz w:val="22"/>
          <w:szCs w:val="22"/>
        </w:rPr>
        <w:t xml:space="preserve"> quanto l’attuazione della disciplina non può che essere riservata a una fonte di rango primario quale la legge regionale (e solo successivamente ai relativi provvedimenti amministrativi di esecuzione).</w:t>
      </w:r>
    </w:p>
    <w:p w14:paraId="1F1F2F09" w14:textId="77777777" w:rsidR="005231DD" w:rsidRDefault="00D73797">
      <w:pPr>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w:t>
      </w:r>
      <w:r>
        <w:rPr>
          <w:rFonts w:ascii="Century Schoolbook" w:eastAsia="Century Schoolbook" w:hAnsi="Century Schoolbook" w:cs="Century Schoolbook"/>
          <w:b/>
        </w:rPr>
        <w:t>___________________________</w:t>
      </w:r>
    </w:p>
    <w:p w14:paraId="0A5C2E96" w14:textId="77777777" w:rsidR="005231DD" w:rsidRDefault="00D737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5</w:t>
      </w:r>
    </w:p>
    <w:p w14:paraId="0D73DA75"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Giustificazione dell’opzione regolatoria proposta e valutazione degli oneri amministrativi e dell’impatto sulle PMI</w:t>
      </w:r>
    </w:p>
    <w:p w14:paraId="30906331" w14:textId="77777777" w:rsidR="005231DD" w:rsidRDefault="00D737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2E3A1A7B" w14:textId="77777777" w:rsidR="005231DD" w:rsidRDefault="00D73797">
      <w:pPr>
        <w:numPr>
          <w:ilvl w:val="0"/>
          <w:numId w:val="2"/>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 xml:space="preserve">Svantaggi e vantaggi </w:t>
      </w:r>
      <w:r>
        <w:rPr>
          <w:rFonts w:ascii="Century Schoolbook" w:eastAsia="Century Schoolbook" w:hAnsi="Century Schoolbook" w:cs="Century Schoolbook"/>
          <w:b/>
          <w:i/>
          <w:color w:val="000000"/>
          <w:sz w:val="22"/>
          <w:szCs w:val="22"/>
        </w:rPr>
        <w:t>dell’opzione prescelta per i destinatari diretti e indiretti</w:t>
      </w:r>
    </w:p>
    <w:p w14:paraId="0616A5B2" w14:textId="77777777" w:rsidR="005231DD" w:rsidRDefault="00D73797">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proposta determina vantaggi per i destinatari diretti e indiretti dell’intervento, come dettagliatamente elencati alla Sez. 1, lett. d).</w:t>
      </w:r>
    </w:p>
    <w:p w14:paraId="2DDF5C4E" w14:textId="77777777" w:rsidR="005231DD" w:rsidRDefault="00D73797">
      <w:pPr>
        <w:spacing w:before="240"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Il presente intervento non comporta svantaggi di alcun genere.</w:t>
      </w:r>
    </w:p>
    <w:p w14:paraId="6CE4F07A" w14:textId="77777777" w:rsidR="005231DD" w:rsidRDefault="00D73797">
      <w:pPr>
        <w:numPr>
          <w:ilvl w:val="0"/>
          <w:numId w:val="2"/>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Individuazione e stima degli effetti dell’opzione prescelta sulle micro, piccole e medie imprese</w:t>
      </w:r>
    </w:p>
    <w:p w14:paraId="25EA77DA" w14:textId="77777777" w:rsidR="005231DD" w:rsidRDefault="00D73797">
      <w:pPr>
        <w:spacing w:before="200"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prescelta non produce particolari effetti sulle MPMI campane.</w:t>
      </w:r>
    </w:p>
    <w:p w14:paraId="2F049FAB" w14:textId="77777777" w:rsidR="005231DD" w:rsidRDefault="00D73797">
      <w:pPr>
        <w:numPr>
          <w:ilvl w:val="0"/>
          <w:numId w:val="2"/>
        </w:numPr>
        <w:spacing w:before="200" w:after="200"/>
        <w:jc w:val="both"/>
        <w:rPr>
          <w:rFonts w:ascii="Century Schoolbook" w:eastAsia="Century Schoolbook" w:hAnsi="Century Schoolbook" w:cs="Century Schoolbook"/>
          <w:b/>
          <w:i/>
          <w:sz w:val="22"/>
          <w:szCs w:val="22"/>
        </w:rPr>
      </w:pPr>
      <w:r>
        <w:rPr>
          <w:rFonts w:ascii="Century Schoolbook" w:eastAsia="Century Schoolbook" w:hAnsi="Century Schoolbook" w:cs="Century Schoolbook"/>
          <w:b/>
          <w:i/>
          <w:sz w:val="22"/>
          <w:szCs w:val="22"/>
        </w:rPr>
        <w:t>Indicazione e stima degl</w:t>
      </w:r>
      <w:r>
        <w:rPr>
          <w:rFonts w:ascii="Century Schoolbook" w:eastAsia="Century Schoolbook" w:hAnsi="Century Schoolbook" w:cs="Century Schoolbook"/>
          <w:b/>
          <w:i/>
          <w:sz w:val="22"/>
          <w:szCs w:val="22"/>
        </w:rPr>
        <w:t>i oneri informativi e dei relativi costi amministrativi, introdotti o eliminati a carico di cittadini e imprese. Per onere informativo si intende qualunque tipologia di adempimento comportante raccolta, elaborazione, trasmissione, conservazione e produzion</w:t>
      </w:r>
      <w:r>
        <w:rPr>
          <w:rFonts w:ascii="Century Schoolbook" w:eastAsia="Century Schoolbook" w:hAnsi="Century Schoolbook" w:cs="Century Schoolbook"/>
          <w:b/>
          <w:i/>
          <w:sz w:val="22"/>
          <w:szCs w:val="22"/>
        </w:rPr>
        <w:t>e di informazioni, comunicazioni e documenti alla pubblica amministrazione</w:t>
      </w:r>
    </w:p>
    <w:p w14:paraId="5F6E22CF" w14:textId="77777777" w:rsidR="005231DD" w:rsidRDefault="00D73797">
      <w:pPr>
        <w:spacing w:before="200"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L’intervento regolatorio non comporta riduzione di oneri informativi o costi a carico dei cittadini o delle imprese. </w:t>
      </w:r>
    </w:p>
    <w:p w14:paraId="1F3A482D" w14:textId="77777777" w:rsidR="005231DD" w:rsidRDefault="00D73797">
      <w:pPr>
        <w:spacing w:before="200"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Si prevede che l’Ente regionale possa avvalersi (mediante la stipula di appositi protocolli d’intesa) della collaborazione delle associazioni e degli enti del terzo settore che si occupano di assistenza alle persone senza fissa dimora, anche con l’obiettiv</w:t>
      </w:r>
      <w:r>
        <w:rPr>
          <w:rFonts w:ascii="Century Schoolbook" w:eastAsia="Century Schoolbook" w:hAnsi="Century Schoolbook" w:cs="Century Schoolbook"/>
          <w:sz w:val="22"/>
          <w:szCs w:val="22"/>
        </w:rPr>
        <w:t>o di raccogliere dati e informazioni funzionali all’attuazione dell’intervento legislativo.</w:t>
      </w:r>
    </w:p>
    <w:p w14:paraId="19EFAC2F" w14:textId="77777777" w:rsidR="005231DD" w:rsidRDefault="005231DD">
      <w:pPr>
        <w:spacing w:before="200" w:after="200"/>
        <w:jc w:val="both"/>
        <w:rPr>
          <w:rFonts w:ascii="Century Schoolbook" w:eastAsia="Century Schoolbook" w:hAnsi="Century Schoolbook" w:cs="Century Schoolbook"/>
          <w:sz w:val="22"/>
          <w:szCs w:val="22"/>
        </w:rPr>
      </w:pPr>
    </w:p>
    <w:p w14:paraId="1AAD45A4" w14:textId="77777777" w:rsidR="005231DD" w:rsidRDefault="00D73797">
      <w:pPr>
        <w:spacing w:before="200" w:after="200"/>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045571C2" w14:textId="77777777" w:rsidR="005231DD" w:rsidRDefault="00D737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6</w:t>
      </w:r>
    </w:p>
    <w:p w14:paraId="5CF9D666"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 xml:space="preserve">Incidenza sul corretto funzionamento concorrenziale del mercato e sulla </w:t>
      </w:r>
      <w:r>
        <w:rPr>
          <w:rFonts w:ascii="Century Schoolbook" w:eastAsia="Century Schoolbook" w:hAnsi="Century Schoolbook" w:cs="Century Schoolbook"/>
          <w:b/>
        </w:rPr>
        <w:t xml:space="preserve">competitività regionale, nonché sulle politiche giovanili </w:t>
      </w:r>
    </w:p>
    <w:p w14:paraId="77A2E65C" w14:textId="77777777" w:rsidR="005231DD" w:rsidRDefault="00D737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3F6C596C" w14:textId="77777777" w:rsidR="005231DD" w:rsidRDefault="00D73797">
      <w:pPr>
        <w:spacing w:after="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prescelta non incide sul corretto funzionamento del mercato e sulla competitività regionale. Non sono ravv</w:t>
      </w:r>
      <w:r>
        <w:rPr>
          <w:rFonts w:ascii="Century Schoolbook" w:eastAsia="Century Schoolbook" w:hAnsi="Century Schoolbook" w:cs="Century Schoolbook"/>
          <w:sz w:val="22"/>
          <w:szCs w:val="22"/>
        </w:rPr>
        <w:t>isabili particolari effetti sulle politiche giovanili della Regione.</w:t>
      </w:r>
    </w:p>
    <w:p w14:paraId="3AAF63C5" w14:textId="77777777" w:rsidR="005231DD" w:rsidRDefault="00D73797">
      <w:pPr>
        <w:spacing w:after="240"/>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759346BE" w14:textId="77777777" w:rsidR="005231DD" w:rsidRDefault="00D737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7</w:t>
      </w:r>
    </w:p>
    <w:p w14:paraId="2E0DE07C"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sz w:val="22"/>
          <w:szCs w:val="22"/>
        </w:rPr>
        <w:t>Modalità attuative dell’intervento di regolamentazione</w:t>
      </w:r>
      <w:r>
        <w:rPr>
          <w:rFonts w:ascii="Century Schoolbook" w:eastAsia="Century Schoolbook" w:hAnsi="Century Schoolbook" w:cs="Century Schoolbook"/>
          <w:b/>
        </w:rPr>
        <w:t xml:space="preserve"> </w:t>
      </w:r>
    </w:p>
    <w:p w14:paraId="6569B974" w14:textId="77777777" w:rsidR="005231DD" w:rsidRDefault="00D737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w:t>
      </w:r>
      <w:r>
        <w:rPr>
          <w:rFonts w:ascii="Century Schoolbook" w:eastAsia="Century Schoolbook" w:hAnsi="Century Schoolbook" w:cs="Century Schoolbook"/>
          <w:b/>
        </w:rPr>
        <w:t>________________________________________</w:t>
      </w:r>
    </w:p>
    <w:p w14:paraId="23FC9120" w14:textId="77777777" w:rsidR="005231DD" w:rsidRDefault="00D73797">
      <w:pPr>
        <w:numPr>
          <w:ilvl w:val="0"/>
          <w:numId w:val="4"/>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Soggetti responsabili dell’attuazione dell’intervento regolatorio</w:t>
      </w:r>
    </w:p>
    <w:p w14:paraId="2B584760" w14:textId="77777777" w:rsidR="005231DD" w:rsidRDefault="00D73797">
      <w:pPr>
        <w:spacing w:before="240" w:after="200"/>
        <w:jc w:val="both"/>
        <w:rPr>
          <w:rFonts w:ascii="Century Schoolbook" w:eastAsia="Century Schoolbook" w:hAnsi="Century Schoolbook" w:cs="Century Schoolbook"/>
          <w:b/>
          <w:i/>
          <w:sz w:val="22"/>
          <w:szCs w:val="22"/>
        </w:rPr>
      </w:pPr>
      <w:r>
        <w:rPr>
          <w:rFonts w:ascii="Century Schoolbook" w:eastAsia="Century Schoolbook" w:hAnsi="Century Schoolbook" w:cs="Century Schoolbook"/>
          <w:sz w:val="22"/>
          <w:szCs w:val="22"/>
        </w:rPr>
        <w:t>Sono responsabili dell’attuazione delle disposizioni previste dall’intervento normativo la Regione, e in particolare la Giunta regionale e le strutture amministrative competenti.</w:t>
      </w:r>
    </w:p>
    <w:p w14:paraId="74B7040A" w14:textId="77777777" w:rsidR="005231DD" w:rsidRDefault="00D73797">
      <w:pPr>
        <w:numPr>
          <w:ilvl w:val="0"/>
          <w:numId w:val="4"/>
        </w:numPr>
        <w:pBdr>
          <w:top w:val="nil"/>
          <w:left w:val="nil"/>
          <w:bottom w:val="nil"/>
          <w:right w:val="nil"/>
          <w:between w:val="nil"/>
        </w:pBdr>
        <w:spacing w:after="200"/>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sz w:val="22"/>
          <w:szCs w:val="22"/>
        </w:rPr>
        <w:t>Azioni per la pubblicità e per l’informazione dell’intervento</w:t>
      </w:r>
    </w:p>
    <w:p w14:paraId="2C22EF7E" w14:textId="77777777" w:rsidR="005231DD" w:rsidRDefault="00D73797">
      <w:pPr>
        <w:pBdr>
          <w:top w:val="nil"/>
          <w:left w:val="nil"/>
          <w:bottom w:val="nil"/>
          <w:right w:val="nil"/>
          <w:between w:val="nil"/>
        </w:pBdr>
        <w:spacing w:after="200"/>
        <w:jc w:val="both"/>
        <w:rPr>
          <w:rFonts w:ascii="Century Schoolbook" w:eastAsia="Century Schoolbook" w:hAnsi="Century Schoolbook" w:cs="Century Schoolbook"/>
          <w:b/>
          <w:i/>
          <w:sz w:val="22"/>
          <w:szCs w:val="22"/>
        </w:rPr>
      </w:pPr>
      <w:r>
        <w:rPr>
          <w:rFonts w:ascii="Century Schoolbook" w:eastAsia="Century Schoolbook" w:hAnsi="Century Schoolbook" w:cs="Century Schoolbook"/>
          <w:sz w:val="22"/>
          <w:szCs w:val="22"/>
        </w:rPr>
        <w:t>Non sono previs</w:t>
      </w:r>
      <w:r>
        <w:rPr>
          <w:rFonts w:ascii="Century Schoolbook" w:eastAsia="Century Schoolbook" w:hAnsi="Century Schoolbook" w:cs="Century Schoolbook"/>
          <w:sz w:val="22"/>
          <w:szCs w:val="22"/>
        </w:rPr>
        <w:t>te particolari azioni per la pubblicità e l’informazione dell’intervento, oltre alla consueta pubblicazione sul Bollettino Ufficiale della Regione.</w:t>
      </w:r>
    </w:p>
    <w:p w14:paraId="534A71FD" w14:textId="77777777" w:rsidR="005231DD" w:rsidRDefault="00D73797">
      <w:pPr>
        <w:numPr>
          <w:ilvl w:val="0"/>
          <w:numId w:val="4"/>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Strumenti e modalità per il controllo e il monitoraggio dell’intervento regolatorio</w:t>
      </w:r>
    </w:p>
    <w:p w14:paraId="6A03E01B" w14:textId="77777777" w:rsidR="005231DD" w:rsidRDefault="00D73797">
      <w:pPr>
        <w:spacing w:before="240"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Il controllo e il monito</w:t>
      </w:r>
      <w:r>
        <w:rPr>
          <w:rFonts w:ascii="Century Schoolbook" w:eastAsia="Century Schoolbook" w:hAnsi="Century Schoolbook" w:cs="Century Schoolbook"/>
          <w:sz w:val="22"/>
          <w:szCs w:val="22"/>
        </w:rPr>
        <w:t>raggio dell’intervento regolatorio sono garantiti dalla presenza di una espressa clausola valutativa nel testo normativo. Si prevede infatti che la Giunta regionale, a cadenza triennale, trasmetta al Consiglio regionale una relazione sullo stato di attuazi</w:t>
      </w:r>
      <w:r>
        <w:rPr>
          <w:rFonts w:ascii="Century Schoolbook" w:eastAsia="Century Schoolbook" w:hAnsi="Century Schoolbook" w:cs="Century Schoolbook"/>
          <w:sz w:val="22"/>
          <w:szCs w:val="22"/>
        </w:rPr>
        <w:t>one della legge.</w:t>
      </w:r>
    </w:p>
    <w:p w14:paraId="31B96CE9" w14:textId="77777777" w:rsidR="005231DD" w:rsidRDefault="00D73797">
      <w:pPr>
        <w:numPr>
          <w:ilvl w:val="0"/>
          <w:numId w:val="4"/>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Meccanismi previsti per la revisione dell’intervento regolatorio</w:t>
      </w:r>
    </w:p>
    <w:p w14:paraId="3193FF36" w14:textId="77777777" w:rsidR="005231DD" w:rsidRDefault="005231DD">
      <w:pPr>
        <w:jc w:val="both"/>
        <w:rPr>
          <w:rFonts w:ascii="Century Schoolbook" w:eastAsia="Century Schoolbook" w:hAnsi="Century Schoolbook" w:cs="Century Schoolbook"/>
          <w:sz w:val="22"/>
          <w:szCs w:val="22"/>
        </w:rPr>
      </w:pPr>
    </w:p>
    <w:p w14:paraId="15B288EC" w14:textId="77777777" w:rsidR="005231DD" w:rsidRDefault="00D73797">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Non sono contemplati specifici meccanismi di revisione dell’articolato. Gli interventi che si dovessero rendere necessari per integrare l’impianto normativo potranno essere realizzati attraverso successive modificazioni normative o, nei casi in cui è previ</w:t>
      </w:r>
      <w:r>
        <w:rPr>
          <w:rFonts w:ascii="Century Schoolbook" w:eastAsia="Century Schoolbook" w:hAnsi="Century Schoolbook" w:cs="Century Schoolbook"/>
          <w:sz w:val="22"/>
          <w:szCs w:val="22"/>
        </w:rPr>
        <w:t>sto, attraverso provvedimenti di dettaglio demandati alla Giunta regionale.</w:t>
      </w:r>
    </w:p>
    <w:p w14:paraId="7D3B7217" w14:textId="77777777" w:rsidR="005231DD" w:rsidRDefault="005231DD">
      <w:pPr>
        <w:jc w:val="both"/>
        <w:rPr>
          <w:rFonts w:ascii="Century Schoolbook" w:eastAsia="Century Schoolbook" w:hAnsi="Century Schoolbook" w:cs="Century Schoolbook"/>
          <w:sz w:val="22"/>
          <w:szCs w:val="22"/>
        </w:rPr>
      </w:pPr>
    </w:p>
    <w:p w14:paraId="6C94CA93" w14:textId="77777777" w:rsidR="005231DD" w:rsidRDefault="005231DD">
      <w:pPr>
        <w:jc w:val="both"/>
        <w:rPr>
          <w:rFonts w:ascii="Century Schoolbook" w:eastAsia="Century Schoolbook" w:hAnsi="Century Schoolbook" w:cs="Century Schoolbook"/>
          <w:sz w:val="22"/>
          <w:szCs w:val="22"/>
        </w:rPr>
      </w:pPr>
    </w:p>
    <w:p w14:paraId="232C4ABC" w14:textId="77777777" w:rsidR="005231DD" w:rsidRDefault="005231DD">
      <w:pPr>
        <w:jc w:val="both"/>
        <w:rPr>
          <w:rFonts w:ascii="Century Schoolbook" w:eastAsia="Century Schoolbook" w:hAnsi="Century Schoolbook" w:cs="Century Schoolbook"/>
          <w:sz w:val="22"/>
          <w:szCs w:val="22"/>
        </w:rPr>
      </w:pPr>
    </w:p>
    <w:p w14:paraId="753BE656" w14:textId="77777777" w:rsidR="005231DD" w:rsidRDefault="005231DD">
      <w:pPr>
        <w:jc w:val="both"/>
        <w:rPr>
          <w:rFonts w:ascii="Century Schoolbook" w:eastAsia="Century Schoolbook" w:hAnsi="Century Schoolbook" w:cs="Century Schoolbook"/>
          <w:sz w:val="22"/>
          <w:szCs w:val="22"/>
        </w:rPr>
      </w:pPr>
    </w:p>
    <w:p w14:paraId="16005B7E" w14:textId="77777777" w:rsidR="005231DD" w:rsidRDefault="00D737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26C2BA21" w14:textId="77777777" w:rsidR="005231DD" w:rsidRDefault="00D737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8</w:t>
      </w:r>
    </w:p>
    <w:p w14:paraId="176B5729" w14:textId="77777777" w:rsidR="005231DD" w:rsidRDefault="00D73797">
      <w:pPr>
        <w:spacing w:line="276" w:lineRule="auto"/>
        <w:jc w:val="both"/>
        <w:rPr>
          <w:rFonts w:ascii="Century Schoolbook" w:eastAsia="Century Schoolbook" w:hAnsi="Century Schoolbook" w:cs="Century Schoolbook"/>
          <w:b/>
          <w:sz w:val="22"/>
          <w:szCs w:val="22"/>
        </w:rPr>
      </w:pPr>
      <w:r>
        <w:rPr>
          <w:rFonts w:ascii="Century Schoolbook" w:eastAsia="Century Schoolbook" w:hAnsi="Century Schoolbook" w:cs="Century Schoolbook"/>
          <w:b/>
          <w:sz w:val="22"/>
          <w:szCs w:val="22"/>
        </w:rPr>
        <w:t>Rispetto dei livelli minimi di regolazione europea</w:t>
      </w:r>
    </w:p>
    <w:p w14:paraId="0BFB8B33" w14:textId="77777777" w:rsidR="005231DD" w:rsidRDefault="00D737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4C17EC0F" w14:textId="77777777" w:rsidR="005231DD" w:rsidRDefault="00D73797">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L’intervento regolatorio rispetta i livelli minimi di regolazione europea, non introducendo requisiti tecnici, obblighi e on</w:t>
      </w:r>
      <w:r>
        <w:rPr>
          <w:rFonts w:ascii="Century Schoolbook" w:eastAsia="Century Schoolbook" w:hAnsi="Century Schoolbook" w:cs="Century Schoolbook"/>
          <w:sz w:val="22"/>
          <w:szCs w:val="22"/>
        </w:rPr>
        <w:t>eri di portata superiore rispetto a quanto già previsto.</w:t>
      </w:r>
    </w:p>
    <w:sectPr w:rsidR="005231DD">
      <w:headerReference w:type="default" r:id="rId8"/>
      <w:footerReference w:type="default" r:id="rId9"/>
      <w:headerReference w:type="first" r:id="rId10"/>
      <w:pgSz w:w="11906" w:h="16838"/>
      <w:pgMar w:top="1417" w:right="1134" w:bottom="1134"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3CCD08" w14:textId="77777777" w:rsidR="00D73797" w:rsidRDefault="00D73797">
      <w:r>
        <w:separator/>
      </w:r>
    </w:p>
  </w:endnote>
  <w:endnote w:type="continuationSeparator" w:id="0">
    <w:p w14:paraId="5AF72687" w14:textId="77777777" w:rsidR="00D73797" w:rsidRDefault="00D73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Schoolbook">
    <w:altName w:val="Tahoma"/>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CABB9" w14:textId="77777777" w:rsidR="005231DD" w:rsidRDefault="00D73797">
    <w:pPr>
      <w:pBdr>
        <w:top w:val="nil"/>
        <w:left w:val="nil"/>
        <w:bottom w:val="nil"/>
        <w:right w:val="nil"/>
        <w:between w:val="nil"/>
      </w:pBdr>
      <w:tabs>
        <w:tab w:val="center" w:pos="4819"/>
        <w:tab w:val="right" w:pos="9638"/>
      </w:tabs>
      <w:jc w:val="right"/>
      <w:rPr>
        <w:rFonts w:ascii="Century Schoolbook" w:eastAsia="Century Schoolbook" w:hAnsi="Century Schoolbook" w:cs="Century Schoolbook"/>
        <w:color w:val="000000"/>
        <w:sz w:val="22"/>
        <w:szCs w:val="22"/>
      </w:rPr>
    </w:pPr>
    <w:r>
      <w:rPr>
        <w:rFonts w:ascii="Century Schoolbook" w:eastAsia="Century Schoolbook" w:hAnsi="Century Schoolbook" w:cs="Century Schoolbook"/>
        <w:color w:val="000000"/>
        <w:sz w:val="22"/>
        <w:szCs w:val="22"/>
      </w:rPr>
      <w:fldChar w:fldCharType="begin"/>
    </w:r>
    <w:r>
      <w:rPr>
        <w:rFonts w:ascii="Century Schoolbook" w:eastAsia="Century Schoolbook" w:hAnsi="Century Schoolbook" w:cs="Century Schoolbook"/>
        <w:color w:val="000000"/>
        <w:sz w:val="22"/>
        <w:szCs w:val="22"/>
      </w:rPr>
      <w:instrText>PAGE</w:instrText>
    </w:r>
    <w:r w:rsidR="00B67438">
      <w:rPr>
        <w:rFonts w:ascii="Century Schoolbook" w:eastAsia="Century Schoolbook" w:hAnsi="Century Schoolbook" w:cs="Century Schoolbook"/>
        <w:color w:val="000000"/>
        <w:sz w:val="22"/>
        <w:szCs w:val="22"/>
      </w:rPr>
      <w:fldChar w:fldCharType="separate"/>
    </w:r>
    <w:r w:rsidR="00B67438">
      <w:rPr>
        <w:rFonts w:ascii="Century Schoolbook" w:eastAsia="Century Schoolbook" w:hAnsi="Century Schoolbook" w:cs="Century Schoolbook"/>
        <w:noProof/>
        <w:color w:val="000000"/>
        <w:sz w:val="22"/>
        <w:szCs w:val="22"/>
      </w:rPr>
      <w:t>2</w:t>
    </w:r>
    <w:r>
      <w:rPr>
        <w:rFonts w:ascii="Century Schoolbook" w:eastAsia="Century Schoolbook" w:hAnsi="Century Schoolbook" w:cs="Century Schoolbook"/>
        <w:color w:val="000000"/>
        <w:sz w:val="22"/>
        <w:szCs w:val="22"/>
      </w:rPr>
      <w:fldChar w:fldCharType="end"/>
    </w:r>
  </w:p>
  <w:p w14:paraId="72F4DC14" w14:textId="77777777" w:rsidR="005231DD" w:rsidRDefault="005231DD">
    <w:pPr>
      <w:pBdr>
        <w:top w:val="nil"/>
        <w:left w:val="nil"/>
        <w:bottom w:val="nil"/>
        <w:right w:val="nil"/>
        <w:between w:val="nil"/>
      </w:pBdr>
      <w:tabs>
        <w:tab w:val="center" w:pos="4819"/>
        <w:tab w:val="right" w:pos="9638"/>
      </w:tabs>
      <w:rPr>
        <w:rFonts w:ascii="Century Schoolbook" w:eastAsia="Century Schoolbook" w:hAnsi="Century Schoolbook" w:cs="Century Schoolbook"/>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6364ED" w14:textId="77777777" w:rsidR="00D73797" w:rsidRDefault="00D73797">
      <w:r>
        <w:separator/>
      </w:r>
    </w:p>
  </w:footnote>
  <w:footnote w:type="continuationSeparator" w:id="0">
    <w:p w14:paraId="0C180541" w14:textId="77777777" w:rsidR="00D73797" w:rsidRDefault="00D73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959C2" w14:textId="77777777" w:rsidR="005231DD" w:rsidRDefault="00D73797">
    <w:pPr>
      <w:tabs>
        <w:tab w:val="left" w:pos="6490"/>
      </w:tabs>
      <w:rPr>
        <w:sz w:val="23"/>
        <w:szCs w:val="23"/>
      </w:rPr>
    </w:pPr>
    <w:r>
      <w:rPr>
        <w:i/>
        <w:noProof/>
        <w:color w:val="000000"/>
      </w:rPr>
      <w:drawing>
        <wp:anchor distT="0" distB="0" distL="114300" distR="114300" simplePos="0" relativeHeight="251658240" behindDoc="0" locked="0" layoutInCell="1" hidden="0" allowOverlap="1" wp14:anchorId="2959DAC5" wp14:editId="772A73F5">
          <wp:simplePos x="0" y="0"/>
          <wp:positionH relativeFrom="margin">
            <wp:align>center</wp:align>
          </wp:positionH>
          <wp:positionV relativeFrom="page">
            <wp:posOffset>448944</wp:posOffset>
          </wp:positionV>
          <wp:extent cx="3002400" cy="1720800"/>
          <wp:effectExtent l="0" t="0" r="0" b="0"/>
          <wp:wrapNone/>
          <wp:docPr id="11" name="image1.png"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r>
      <w:rPr>
        <w:sz w:val="23"/>
        <w:szCs w:val="23"/>
      </w:rPr>
      <w:tab/>
    </w:r>
  </w:p>
  <w:p w14:paraId="1A752B79" w14:textId="77777777" w:rsidR="005231DD" w:rsidRDefault="005231DD">
    <w:pPr>
      <w:tabs>
        <w:tab w:val="left" w:pos="6490"/>
      </w:tabs>
      <w:rPr>
        <w:sz w:val="23"/>
        <w:szCs w:val="23"/>
      </w:rPr>
    </w:pPr>
  </w:p>
  <w:p w14:paraId="1C1190CC" w14:textId="77777777" w:rsidR="005231DD" w:rsidRDefault="005231DD">
    <w:pPr>
      <w:tabs>
        <w:tab w:val="left" w:pos="6490"/>
      </w:tabs>
      <w:rPr>
        <w:sz w:val="23"/>
        <w:szCs w:val="23"/>
      </w:rPr>
    </w:pPr>
  </w:p>
  <w:p w14:paraId="68EC970B" w14:textId="77777777" w:rsidR="005231DD" w:rsidRDefault="005231DD">
    <w:pPr>
      <w:tabs>
        <w:tab w:val="left" w:pos="6490"/>
      </w:tabs>
      <w:rPr>
        <w:sz w:val="23"/>
        <w:szCs w:val="23"/>
      </w:rPr>
    </w:pPr>
  </w:p>
  <w:p w14:paraId="576B7AA4" w14:textId="77777777" w:rsidR="005231DD" w:rsidRDefault="005231DD">
    <w:pPr>
      <w:tabs>
        <w:tab w:val="left" w:pos="6490"/>
      </w:tabs>
      <w:rPr>
        <w:sz w:val="23"/>
        <w:szCs w:val="23"/>
      </w:rPr>
    </w:pPr>
  </w:p>
  <w:p w14:paraId="514CCE7A" w14:textId="77777777" w:rsidR="005231DD" w:rsidRDefault="005231DD">
    <w:pPr>
      <w:tabs>
        <w:tab w:val="left" w:pos="6490"/>
      </w:tabs>
      <w:rPr>
        <w:sz w:val="23"/>
        <w:szCs w:val="23"/>
      </w:rPr>
    </w:pPr>
  </w:p>
  <w:p w14:paraId="0A9A038D" w14:textId="77777777" w:rsidR="005231DD" w:rsidRDefault="005231DD">
    <w:pPr>
      <w:tabs>
        <w:tab w:val="left" w:pos="6490"/>
      </w:tabs>
      <w:rPr>
        <w:sz w:val="23"/>
        <w:szCs w:val="23"/>
      </w:rPr>
    </w:pPr>
  </w:p>
  <w:p w14:paraId="5186FAE8" w14:textId="77777777" w:rsidR="005231DD" w:rsidRDefault="005231DD">
    <w:pPr>
      <w:tabs>
        <w:tab w:val="left" w:pos="6490"/>
      </w:tabs>
      <w:rPr>
        <w:sz w:val="23"/>
        <w:szCs w:val="23"/>
      </w:rPr>
    </w:pPr>
  </w:p>
  <w:p w14:paraId="42548972" w14:textId="77777777" w:rsidR="005231DD" w:rsidRDefault="005231DD">
    <w:pPr>
      <w:jc w:val="center"/>
      <w:rPr>
        <w:sz w:val="23"/>
        <w:szCs w:val="23"/>
      </w:rPr>
    </w:pPr>
  </w:p>
  <w:p w14:paraId="4029BB39" w14:textId="77777777" w:rsidR="005231DD" w:rsidRDefault="005231DD">
    <w:pPr>
      <w:jc w:val="center"/>
      <w:rPr>
        <w:sz w:val="23"/>
        <w:szCs w:val="23"/>
      </w:rPr>
    </w:pPr>
  </w:p>
  <w:p w14:paraId="1C004743" w14:textId="77777777" w:rsidR="005231DD" w:rsidRDefault="005231DD">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94108" w14:textId="77777777" w:rsidR="005231DD" w:rsidRDefault="005231DD">
    <w:pPr>
      <w:pBdr>
        <w:top w:val="nil"/>
        <w:left w:val="nil"/>
        <w:bottom w:val="nil"/>
        <w:right w:val="nil"/>
        <w:between w:val="nil"/>
      </w:pBdr>
      <w:tabs>
        <w:tab w:val="center" w:pos="4819"/>
        <w:tab w:val="right" w:pos="9638"/>
      </w:tabs>
      <w:jc w:val="center"/>
      <w:rPr>
        <w:color w:val="000000"/>
      </w:rPr>
    </w:pPr>
  </w:p>
  <w:p w14:paraId="4A30B775" w14:textId="77777777" w:rsidR="005231DD" w:rsidRDefault="005231DD">
    <w:pPr>
      <w:pBdr>
        <w:top w:val="nil"/>
        <w:left w:val="nil"/>
        <w:bottom w:val="nil"/>
        <w:right w:val="nil"/>
        <w:between w:val="nil"/>
      </w:pBdr>
      <w:tabs>
        <w:tab w:val="center" w:pos="4819"/>
        <w:tab w:val="right" w:pos="9638"/>
      </w:tabs>
      <w:jc w:val="center"/>
      <w:rPr>
        <w:color w:val="000000"/>
      </w:rPr>
    </w:pPr>
  </w:p>
  <w:p w14:paraId="49FADE8B" w14:textId="77777777" w:rsidR="005231DD" w:rsidRDefault="005231DD">
    <w:pPr>
      <w:pBdr>
        <w:top w:val="nil"/>
        <w:left w:val="nil"/>
        <w:bottom w:val="nil"/>
        <w:right w:val="nil"/>
        <w:between w:val="nil"/>
      </w:pBdr>
      <w:tabs>
        <w:tab w:val="center" w:pos="4819"/>
        <w:tab w:val="right" w:pos="9638"/>
      </w:tabs>
      <w:jc w:val="center"/>
      <w:rPr>
        <w:color w:val="000000"/>
      </w:rPr>
    </w:pPr>
  </w:p>
  <w:p w14:paraId="38384892" w14:textId="77777777" w:rsidR="005231DD" w:rsidRDefault="005231DD">
    <w:pPr>
      <w:pBdr>
        <w:top w:val="nil"/>
        <w:left w:val="nil"/>
        <w:bottom w:val="nil"/>
        <w:right w:val="nil"/>
        <w:between w:val="nil"/>
      </w:pBdr>
      <w:tabs>
        <w:tab w:val="center" w:pos="4819"/>
        <w:tab w:val="right" w:pos="9638"/>
      </w:tabs>
      <w:jc w:val="center"/>
      <w:rPr>
        <w:color w:val="000000"/>
      </w:rPr>
    </w:pPr>
  </w:p>
  <w:p w14:paraId="6244ED37" w14:textId="77777777" w:rsidR="005231DD" w:rsidRDefault="005231DD">
    <w:pPr>
      <w:pBdr>
        <w:top w:val="nil"/>
        <w:left w:val="nil"/>
        <w:bottom w:val="nil"/>
        <w:right w:val="nil"/>
        <w:between w:val="nil"/>
      </w:pBdr>
      <w:tabs>
        <w:tab w:val="center" w:pos="4819"/>
        <w:tab w:val="right" w:pos="9638"/>
      </w:tabs>
      <w:jc w:val="center"/>
      <w:rPr>
        <w:color w:val="000000"/>
      </w:rPr>
    </w:pPr>
  </w:p>
  <w:p w14:paraId="094D5191" w14:textId="77777777" w:rsidR="005231DD" w:rsidRDefault="005231DD">
    <w:pPr>
      <w:pBdr>
        <w:top w:val="nil"/>
        <w:left w:val="nil"/>
        <w:bottom w:val="nil"/>
        <w:right w:val="nil"/>
        <w:between w:val="nil"/>
      </w:pBdr>
      <w:tabs>
        <w:tab w:val="center" w:pos="4819"/>
        <w:tab w:val="right" w:pos="9638"/>
      </w:tabs>
      <w:jc w:val="center"/>
      <w:rPr>
        <w:color w:val="000000"/>
      </w:rPr>
    </w:pPr>
  </w:p>
  <w:p w14:paraId="763EE171" w14:textId="77777777" w:rsidR="005231DD" w:rsidRDefault="005231DD">
    <w:pPr>
      <w:pBdr>
        <w:top w:val="nil"/>
        <w:left w:val="nil"/>
        <w:bottom w:val="nil"/>
        <w:right w:val="nil"/>
        <w:between w:val="nil"/>
      </w:pBdr>
      <w:tabs>
        <w:tab w:val="center" w:pos="4819"/>
        <w:tab w:val="right" w:pos="9638"/>
      </w:tabs>
      <w:jc w:val="center"/>
      <w:rPr>
        <w:color w:val="000000"/>
      </w:rPr>
    </w:pPr>
  </w:p>
  <w:p w14:paraId="655BADF9" w14:textId="77777777" w:rsidR="005231DD" w:rsidRDefault="005231DD">
    <w:pPr>
      <w:pBdr>
        <w:top w:val="nil"/>
        <w:left w:val="nil"/>
        <w:bottom w:val="nil"/>
        <w:right w:val="nil"/>
        <w:between w:val="nil"/>
      </w:pBdr>
      <w:tabs>
        <w:tab w:val="center" w:pos="4819"/>
        <w:tab w:val="right" w:pos="9638"/>
      </w:tabs>
      <w:jc w:val="center"/>
      <w:rPr>
        <w:color w:val="000000"/>
      </w:rPr>
    </w:pPr>
  </w:p>
  <w:p w14:paraId="092E2877" w14:textId="77777777" w:rsidR="005231DD" w:rsidRDefault="005231DD">
    <w:pPr>
      <w:pBdr>
        <w:top w:val="nil"/>
        <w:left w:val="nil"/>
        <w:bottom w:val="nil"/>
        <w:right w:val="nil"/>
        <w:between w:val="nil"/>
      </w:pBdr>
      <w:tabs>
        <w:tab w:val="center" w:pos="4819"/>
        <w:tab w:val="right" w:pos="9638"/>
      </w:tabs>
      <w:jc w:val="center"/>
      <w:rPr>
        <w:color w:val="000000"/>
      </w:rPr>
    </w:pPr>
  </w:p>
  <w:p w14:paraId="4AD30C23" w14:textId="77777777" w:rsidR="005231DD" w:rsidRDefault="00D73797">
    <w:pPr>
      <w:pBdr>
        <w:top w:val="nil"/>
        <w:left w:val="nil"/>
        <w:bottom w:val="nil"/>
        <w:right w:val="nil"/>
        <w:between w:val="nil"/>
      </w:pBdr>
      <w:tabs>
        <w:tab w:val="center" w:pos="4819"/>
        <w:tab w:val="right" w:pos="9638"/>
      </w:tabs>
      <w:jc w:val="center"/>
      <w:rPr>
        <w:color w:val="000000"/>
      </w:rPr>
    </w:pPr>
    <w:r>
      <w:rPr>
        <w:i/>
        <w:noProof/>
        <w:color w:val="000000"/>
      </w:rPr>
      <w:drawing>
        <wp:anchor distT="0" distB="0" distL="114300" distR="114300" simplePos="0" relativeHeight="251659264" behindDoc="0" locked="0" layoutInCell="1" hidden="0" allowOverlap="1" wp14:anchorId="32AF6748" wp14:editId="0E19F094">
          <wp:simplePos x="0" y="0"/>
          <wp:positionH relativeFrom="margin">
            <wp:align>center</wp:align>
          </wp:positionH>
          <wp:positionV relativeFrom="page">
            <wp:posOffset>448310</wp:posOffset>
          </wp:positionV>
          <wp:extent cx="3002400" cy="1720800"/>
          <wp:effectExtent l="0" t="0" r="0" b="0"/>
          <wp:wrapNone/>
          <wp:docPr id="10" name="image1.png"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A72D4"/>
    <w:multiLevelType w:val="multilevel"/>
    <w:tmpl w:val="11E0461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A211B13"/>
    <w:multiLevelType w:val="multilevel"/>
    <w:tmpl w:val="A08807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00E67E5"/>
    <w:multiLevelType w:val="multilevel"/>
    <w:tmpl w:val="F39ADBB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F5B7314"/>
    <w:multiLevelType w:val="multilevel"/>
    <w:tmpl w:val="49D25ED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907012D"/>
    <w:multiLevelType w:val="multilevel"/>
    <w:tmpl w:val="952C62C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86110E4"/>
    <w:multiLevelType w:val="multilevel"/>
    <w:tmpl w:val="35EAA95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7D225199"/>
    <w:multiLevelType w:val="multilevel"/>
    <w:tmpl w:val="52B8ED9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2"/>
  </w:num>
  <w:num w:numId="3">
    <w:abstractNumId w:val="4"/>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1DD"/>
    <w:rsid w:val="005231DD"/>
    <w:rsid w:val="00B67438"/>
    <w:rsid w:val="00D737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1A67A"/>
  <w15:docId w15:val="{7998FEBD-827C-406D-9EF7-A4D0D2DF0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92B6D"/>
  </w:style>
  <w:style w:type="paragraph" w:styleId="Titolo1">
    <w:name w:val="heading 1"/>
    <w:basedOn w:val="Normale"/>
    <w:link w:val="Titolo1Carattere"/>
    <w:uiPriority w:val="9"/>
    <w:qFormat/>
    <w:rsid w:val="00E94C63"/>
    <w:pPr>
      <w:keepNext/>
      <w:jc w:val="center"/>
      <w:outlineLvl w:val="0"/>
    </w:pPr>
    <w:rPr>
      <w:i/>
      <w:iCs/>
      <w:kern w:val="36"/>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Titolo1Carattere">
    <w:name w:val="Titolo 1 Carattere"/>
    <w:basedOn w:val="Carpredefinitoparagrafo"/>
    <w:link w:val="Titolo1"/>
    <w:uiPriority w:val="9"/>
    <w:rsid w:val="00E94C63"/>
    <w:rPr>
      <w:rFonts w:ascii="Times New Roman" w:hAnsi="Times New Roman" w:cs="Times New Roman"/>
      <w:i/>
      <w:iCs/>
      <w:kern w:val="36"/>
      <w:sz w:val="24"/>
      <w:szCs w:val="24"/>
      <w:lang w:eastAsia="it-IT"/>
    </w:rPr>
  </w:style>
  <w:style w:type="paragraph" w:styleId="NormaleWeb">
    <w:name w:val="Normal (Web)"/>
    <w:basedOn w:val="Normale"/>
    <w:uiPriority w:val="99"/>
    <w:semiHidden/>
    <w:unhideWhenUsed/>
    <w:rsid w:val="00E94C63"/>
    <w:pPr>
      <w:spacing w:before="100" w:beforeAutospacing="1" w:after="100" w:afterAutospacing="1"/>
    </w:pPr>
  </w:style>
  <w:style w:type="character" w:customStyle="1" w:styleId="apple-converted-space">
    <w:name w:val="apple-converted-space"/>
    <w:basedOn w:val="Carpredefinitoparagrafo"/>
    <w:rsid w:val="00E94C63"/>
  </w:style>
  <w:style w:type="character" w:styleId="Enfasigrassetto">
    <w:name w:val="Strong"/>
    <w:basedOn w:val="Carpredefinitoparagrafo"/>
    <w:uiPriority w:val="22"/>
    <w:qFormat/>
    <w:rsid w:val="00E94C63"/>
    <w:rPr>
      <w:b/>
      <w:bCs/>
    </w:rPr>
  </w:style>
  <w:style w:type="paragraph" w:styleId="Testofumetto">
    <w:name w:val="Balloon Text"/>
    <w:basedOn w:val="Normale"/>
    <w:link w:val="TestofumettoCarattere"/>
    <w:uiPriority w:val="99"/>
    <w:semiHidden/>
    <w:unhideWhenUsed/>
    <w:rsid w:val="00BD07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0792"/>
    <w:rPr>
      <w:rFonts w:ascii="Segoe UI" w:hAnsi="Segoe UI" w:cs="Segoe UI"/>
      <w:sz w:val="18"/>
      <w:szCs w:val="18"/>
      <w:lang w:eastAsia="it-IT"/>
    </w:rPr>
  </w:style>
  <w:style w:type="paragraph" w:styleId="Intestazione">
    <w:name w:val="header"/>
    <w:basedOn w:val="Normale"/>
    <w:link w:val="IntestazioneCarattere"/>
    <w:uiPriority w:val="99"/>
    <w:unhideWhenUsed/>
    <w:rsid w:val="00800A33"/>
    <w:pPr>
      <w:tabs>
        <w:tab w:val="center" w:pos="4819"/>
        <w:tab w:val="right" w:pos="9638"/>
      </w:tabs>
    </w:pPr>
  </w:style>
  <w:style w:type="character" w:customStyle="1" w:styleId="IntestazioneCarattere">
    <w:name w:val="Intestazione Carattere"/>
    <w:basedOn w:val="Carpredefinitoparagrafo"/>
    <w:link w:val="Intestazione"/>
    <w:uiPriority w:val="99"/>
    <w:rsid w:val="00800A33"/>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800A33"/>
    <w:pPr>
      <w:tabs>
        <w:tab w:val="center" w:pos="4819"/>
        <w:tab w:val="right" w:pos="9638"/>
      </w:tabs>
    </w:pPr>
  </w:style>
  <w:style w:type="character" w:customStyle="1" w:styleId="PidipaginaCarattere">
    <w:name w:val="Piè di pagina Carattere"/>
    <w:basedOn w:val="Carpredefinitoparagrafo"/>
    <w:link w:val="Pidipagina"/>
    <w:uiPriority w:val="99"/>
    <w:rsid w:val="00800A33"/>
    <w:rPr>
      <w:rFonts w:ascii="Times New Roman" w:hAnsi="Times New Roman" w:cs="Times New Roman"/>
      <w:sz w:val="24"/>
      <w:szCs w:val="24"/>
      <w:lang w:eastAsia="it-IT"/>
    </w:rPr>
  </w:style>
  <w:style w:type="table" w:styleId="Grigliatabella">
    <w:name w:val="Table Grid"/>
    <w:basedOn w:val="Tabellanormale"/>
    <w:uiPriority w:val="39"/>
    <w:rsid w:val="000C2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B6B81"/>
    <w:pPr>
      <w:ind w:left="720"/>
      <w:contextualSpacing/>
    </w:pPr>
  </w:style>
  <w:style w:type="character" w:customStyle="1" w:styleId="MSGENFONTSTYLENAMETEMPLATEROLENUMBERMSGENFONTSTYLENAMEBYROLETEXT2">
    <w:name w:val="MSG_EN_FONT_STYLE_NAME_TEMPLATE_ROLE_NUMBER MSG_EN_FONT_STYLE_NAME_BY_ROLE_TEXT 2_"/>
    <w:basedOn w:val="Carpredefinitoparagrafo"/>
    <w:rsid w:val="00DD09D8"/>
    <w:rPr>
      <w:b w:val="0"/>
      <w:bCs w:val="0"/>
      <w:i w:val="0"/>
      <w:iCs w:val="0"/>
      <w:smallCaps w:val="0"/>
      <w:strike w:val="0"/>
      <w:u w:val="none"/>
    </w:rPr>
  </w:style>
  <w:style w:type="character" w:customStyle="1" w:styleId="MSGENFONTSTYLENAMETEMPLATEROLENUMBERMSGENFONTSTYLENAMEBYROLETEXT20">
    <w:name w:val="MSG_EN_FONT_STYLE_NAME_TEMPLATE_ROLE_NUMBER MSG_EN_FONT_STYLE_NAME_BY_ROLE_TEXT 2"/>
    <w:basedOn w:val="MSGENFONTSTYLENAMETEMPLATEROLENUMBERMSGENFONTSTYLENAMEBYROLETEXT2"/>
    <w:rsid w:val="00DD09D8"/>
    <w:rPr>
      <w:rFonts w:ascii="Times New Roman" w:eastAsia="Times New Roman" w:hAnsi="Times New Roman" w:cs="Times New Roman"/>
      <w:b w:val="0"/>
      <w:bCs w:val="0"/>
      <w:i w:val="0"/>
      <w:iCs w:val="0"/>
      <w:smallCaps w:val="0"/>
      <w:strike w:val="0"/>
      <w:color w:val="1C1C1C"/>
      <w:spacing w:val="0"/>
      <w:w w:val="100"/>
      <w:position w:val="0"/>
      <w:sz w:val="24"/>
      <w:szCs w:val="24"/>
      <w:u w:val="none"/>
      <w:lang w:val="it-IT" w:eastAsia="it-IT" w:bidi="it-IT"/>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QCxuMj4CuFntz4F+RBbHDAnQ2g==">AMUW2mVoxxOjGFaq/rewhMr3ellzovSqzYhz8GpOftxtGUpkc4bm19DviZY2moRsdLtBfHiJecMknFGpXf0cdYohDHvv1Sx5q12DaGF4YrXOM7KRlieQFZg=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2098</Words>
  <Characters>11965</Characters>
  <Application>Microsoft Office Word</Application>
  <DocSecurity>0</DocSecurity>
  <Lines>99</Lines>
  <Paragraphs>28</Paragraphs>
  <ScaleCrop>false</ScaleCrop>
  <Company/>
  <LinksUpToDate>false</LinksUpToDate>
  <CharactersWithSpaces>14035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Mocerino Carmine Staff</dc:creator>
  <cp:lastModifiedBy>Michele Cammarano</cp:lastModifiedBy>
  <cp:revision>2</cp:revision>
  <dcterms:created xsi:type="dcterms:W3CDTF">2022-03-10T08:57:00Z</dcterms:created>
  <dcterms:modified xsi:type="dcterms:W3CDTF">2022-03-10T08:57:00Z</dcterms:modified>
</cp:coreProperties>
</file>