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319168" w14:textId="77777777" w:rsidR="00745B8C" w:rsidRDefault="00745B8C">
      <w:pPr>
        <w:spacing w:line="360" w:lineRule="auto"/>
        <w:jc w:val="right"/>
        <w:rPr>
          <w:rFonts w:ascii="Century Schoolbook" w:eastAsia="Century Schoolbook" w:hAnsi="Century Schoolbook" w:cs="Century Schoolbook"/>
        </w:rPr>
      </w:pPr>
    </w:p>
    <w:p w14:paraId="34A3F3DC" w14:textId="77777777" w:rsidR="00745B8C" w:rsidRDefault="00745B8C">
      <w:pPr>
        <w:spacing w:line="360" w:lineRule="auto"/>
        <w:jc w:val="center"/>
        <w:rPr>
          <w:rFonts w:ascii="Century Schoolbook" w:eastAsia="Century Schoolbook" w:hAnsi="Century Schoolbook" w:cs="Century Schoolbook"/>
          <w:smallCaps/>
        </w:rPr>
      </w:pPr>
    </w:p>
    <w:p w14:paraId="10CF17CA" w14:textId="77777777" w:rsidR="00745B8C" w:rsidRDefault="00745B8C">
      <w:pPr>
        <w:spacing w:line="360" w:lineRule="auto"/>
        <w:jc w:val="center"/>
        <w:rPr>
          <w:rFonts w:ascii="Century Schoolbook" w:eastAsia="Century Schoolbook" w:hAnsi="Century Schoolbook" w:cs="Century Schoolbook"/>
          <w:smallCaps/>
        </w:rPr>
      </w:pPr>
    </w:p>
    <w:p w14:paraId="73D06431" w14:textId="77777777" w:rsidR="00745B8C" w:rsidRDefault="00745B8C">
      <w:pPr>
        <w:spacing w:line="360" w:lineRule="auto"/>
        <w:jc w:val="center"/>
        <w:rPr>
          <w:rFonts w:ascii="Century Schoolbook" w:eastAsia="Century Schoolbook" w:hAnsi="Century Schoolbook" w:cs="Century Schoolbook"/>
          <w:smallCaps/>
        </w:rPr>
      </w:pPr>
    </w:p>
    <w:p w14:paraId="1CA09467" w14:textId="77777777" w:rsidR="00745B8C" w:rsidRDefault="00745B8C">
      <w:pPr>
        <w:spacing w:line="360" w:lineRule="auto"/>
        <w:jc w:val="center"/>
        <w:rPr>
          <w:rFonts w:ascii="Century Schoolbook" w:eastAsia="Century Schoolbook" w:hAnsi="Century Schoolbook" w:cs="Century Schoolbook"/>
          <w:smallCaps/>
        </w:rPr>
      </w:pPr>
    </w:p>
    <w:p w14:paraId="5769FCC6" w14:textId="77777777" w:rsidR="00745B8C" w:rsidRDefault="005F358F">
      <w:pPr>
        <w:jc w:val="center"/>
        <w:rPr>
          <w:rFonts w:ascii="Century Schoolbook" w:eastAsia="Century Schoolbook" w:hAnsi="Century Schoolbook" w:cs="Century Schoolbook"/>
          <w:smallCaps/>
          <w:sz w:val="28"/>
          <w:szCs w:val="28"/>
        </w:rPr>
      </w:pPr>
      <w:r>
        <w:rPr>
          <w:rFonts w:ascii="Century Schoolbook" w:eastAsia="Century Schoolbook" w:hAnsi="Century Schoolbook" w:cs="Century Schoolbook"/>
          <w:smallCaps/>
          <w:sz w:val="28"/>
          <w:szCs w:val="28"/>
        </w:rPr>
        <w:t>Proposta di legge</w:t>
      </w:r>
    </w:p>
    <w:p w14:paraId="18130B1A" w14:textId="77777777" w:rsidR="00745B8C" w:rsidRDefault="00745B8C">
      <w:pPr>
        <w:jc w:val="center"/>
        <w:rPr>
          <w:rFonts w:ascii="Century Schoolbook" w:eastAsia="Century Schoolbook" w:hAnsi="Century Schoolbook" w:cs="Century Schoolbook"/>
          <w:smallCaps/>
          <w:sz w:val="28"/>
          <w:szCs w:val="28"/>
        </w:rPr>
      </w:pPr>
    </w:p>
    <w:p w14:paraId="2D9DAFC0" w14:textId="77777777" w:rsidR="00745B8C" w:rsidRDefault="005F358F">
      <w:pPr>
        <w:jc w:val="center"/>
        <w:rPr>
          <w:rFonts w:ascii="Century Schoolbook" w:eastAsia="Century Schoolbook" w:hAnsi="Century Schoolbook" w:cs="Century Schoolbook"/>
          <w:sz w:val="28"/>
          <w:szCs w:val="28"/>
        </w:rPr>
      </w:pPr>
      <w:r>
        <w:rPr>
          <w:rFonts w:ascii="Century Schoolbook" w:eastAsia="Century Schoolbook" w:hAnsi="Century Schoolbook" w:cs="Century Schoolbook"/>
          <w:sz w:val="28"/>
          <w:szCs w:val="28"/>
        </w:rPr>
        <w:t>Istituzione del Comune di Vallo di Diano mediante la fusione dei Comuni di Atena Lucana, Buonabitacolo, Casalbuono, Monte San Giacomo, Montesano sulla Marcellana, Padula, Pertosa, Polla, Sala Consilina, San Pietro al Tanagro, San Rufo, Sant’Arsenio, Sanza, Sassano e Teggiano</w:t>
      </w:r>
    </w:p>
    <w:p w14:paraId="156C2149" w14:textId="77777777" w:rsidR="00745B8C" w:rsidRDefault="00745B8C">
      <w:pPr>
        <w:jc w:val="center"/>
        <w:rPr>
          <w:rFonts w:ascii="Century Schoolbook" w:eastAsia="Century Schoolbook" w:hAnsi="Century Schoolbook" w:cs="Century Schoolbook"/>
          <w:sz w:val="28"/>
          <w:szCs w:val="28"/>
        </w:rPr>
      </w:pPr>
    </w:p>
    <w:p w14:paraId="70459A66" w14:textId="77777777" w:rsidR="00745B8C" w:rsidRDefault="00745B8C">
      <w:pPr>
        <w:jc w:val="center"/>
        <w:rPr>
          <w:rFonts w:ascii="Century Schoolbook" w:eastAsia="Century Schoolbook" w:hAnsi="Century Schoolbook" w:cs="Century Schoolbook"/>
          <w:sz w:val="28"/>
          <w:szCs w:val="28"/>
        </w:rPr>
      </w:pPr>
    </w:p>
    <w:p w14:paraId="394133B1" w14:textId="77777777" w:rsidR="00745B8C" w:rsidRDefault="00745B8C">
      <w:pPr>
        <w:jc w:val="center"/>
        <w:rPr>
          <w:rFonts w:ascii="Century Schoolbook" w:eastAsia="Century Schoolbook" w:hAnsi="Century Schoolbook" w:cs="Century Schoolbook"/>
          <w:sz w:val="28"/>
          <w:szCs w:val="28"/>
        </w:rPr>
      </w:pPr>
    </w:p>
    <w:p w14:paraId="1568D1DD" w14:textId="77777777" w:rsidR="00745B8C" w:rsidRDefault="00745B8C">
      <w:pPr>
        <w:spacing w:line="360" w:lineRule="auto"/>
        <w:jc w:val="center"/>
        <w:rPr>
          <w:rFonts w:ascii="Century Schoolbook" w:eastAsia="Century Schoolbook" w:hAnsi="Century Schoolbook" w:cs="Century Schoolbook"/>
          <w:smallCaps/>
        </w:rPr>
      </w:pPr>
    </w:p>
    <w:p w14:paraId="7147C67A" w14:textId="77777777" w:rsidR="00745B8C" w:rsidRDefault="00745B8C">
      <w:pPr>
        <w:spacing w:line="360" w:lineRule="auto"/>
        <w:jc w:val="center"/>
        <w:rPr>
          <w:rFonts w:ascii="Century Schoolbook" w:eastAsia="Century Schoolbook" w:hAnsi="Century Schoolbook" w:cs="Century Schoolbook"/>
          <w:smallCaps/>
        </w:rPr>
      </w:pPr>
    </w:p>
    <w:p w14:paraId="69962330" w14:textId="77777777" w:rsidR="00745B8C" w:rsidRDefault="00745B8C">
      <w:pPr>
        <w:spacing w:line="360" w:lineRule="auto"/>
        <w:jc w:val="center"/>
        <w:rPr>
          <w:rFonts w:ascii="Century Schoolbook" w:eastAsia="Century Schoolbook" w:hAnsi="Century Schoolbook" w:cs="Century Schoolbook"/>
          <w:smallCaps/>
        </w:rPr>
      </w:pPr>
    </w:p>
    <w:p w14:paraId="3FD0E5CB" w14:textId="77777777" w:rsidR="00745B8C" w:rsidRDefault="00745B8C">
      <w:pPr>
        <w:spacing w:line="360" w:lineRule="auto"/>
        <w:jc w:val="center"/>
        <w:rPr>
          <w:rFonts w:ascii="Century Schoolbook" w:eastAsia="Century Schoolbook" w:hAnsi="Century Schoolbook" w:cs="Century Schoolbook"/>
          <w:smallCaps/>
        </w:rPr>
      </w:pPr>
    </w:p>
    <w:p w14:paraId="4C0C722A" w14:textId="77777777" w:rsidR="00745B8C" w:rsidRDefault="00745B8C">
      <w:pPr>
        <w:spacing w:line="360" w:lineRule="auto"/>
        <w:jc w:val="center"/>
        <w:rPr>
          <w:rFonts w:ascii="Century Schoolbook" w:eastAsia="Century Schoolbook" w:hAnsi="Century Schoolbook" w:cs="Century Schoolbook"/>
          <w:smallCaps/>
        </w:rPr>
      </w:pPr>
    </w:p>
    <w:p w14:paraId="148491CC" w14:textId="77777777" w:rsidR="00745B8C" w:rsidRDefault="00745B8C">
      <w:pPr>
        <w:spacing w:line="360" w:lineRule="auto"/>
        <w:jc w:val="center"/>
        <w:rPr>
          <w:rFonts w:ascii="Century Schoolbook" w:eastAsia="Century Schoolbook" w:hAnsi="Century Schoolbook" w:cs="Century Schoolbook"/>
          <w:smallCaps/>
        </w:rPr>
      </w:pPr>
    </w:p>
    <w:p w14:paraId="3CD9FF19" w14:textId="77777777" w:rsidR="00745B8C" w:rsidRDefault="00745B8C">
      <w:pPr>
        <w:spacing w:line="360" w:lineRule="auto"/>
        <w:jc w:val="center"/>
        <w:rPr>
          <w:rFonts w:ascii="Century Schoolbook" w:eastAsia="Century Schoolbook" w:hAnsi="Century Schoolbook" w:cs="Century Schoolbook"/>
          <w:smallCaps/>
        </w:rPr>
      </w:pPr>
    </w:p>
    <w:p w14:paraId="121C4092" w14:textId="77777777" w:rsidR="00745B8C" w:rsidRDefault="00745B8C">
      <w:pPr>
        <w:spacing w:line="360" w:lineRule="auto"/>
        <w:jc w:val="center"/>
        <w:rPr>
          <w:rFonts w:ascii="Century Schoolbook" w:eastAsia="Century Schoolbook" w:hAnsi="Century Schoolbook" w:cs="Century Schoolbook"/>
          <w:smallCaps/>
        </w:rPr>
      </w:pPr>
    </w:p>
    <w:p w14:paraId="60E5D663" w14:textId="77777777" w:rsidR="00745B8C" w:rsidRDefault="00745B8C">
      <w:pPr>
        <w:spacing w:line="360" w:lineRule="auto"/>
        <w:jc w:val="center"/>
        <w:rPr>
          <w:rFonts w:ascii="Century Schoolbook" w:eastAsia="Century Schoolbook" w:hAnsi="Century Schoolbook" w:cs="Century Schoolbook"/>
          <w:smallCaps/>
        </w:rPr>
      </w:pPr>
    </w:p>
    <w:p w14:paraId="6C5E7A64" w14:textId="77777777" w:rsidR="00745B8C" w:rsidRDefault="00745B8C">
      <w:pPr>
        <w:spacing w:line="360" w:lineRule="auto"/>
        <w:rPr>
          <w:rFonts w:ascii="Century Schoolbook" w:eastAsia="Century Schoolbook" w:hAnsi="Century Schoolbook" w:cs="Century Schoolbook"/>
          <w:smallCaps/>
        </w:rPr>
      </w:pPr>
    </w:p>
    <w:p w14:paraId="7F8A33C7" w14:textId="77777777" w:rsidR="00745B8C" w:rsidRDefault="005F358F">
      <w:pPr>
        <w:spacing w:line="360" w:lineRule="auto"/>
        <w:jc w:val="center"/>
        <w:rPr>
          <w:rFonts w:ascii="Century Schoolbook" w:eastAsia="Century Schoolbook" w:hAnsi="Century Schoolbook" w:cs="Century Schoolbook"/>
          <w:smallCaps/>
          <w:sz w:val="22"/>
          <w:szCs w:val="22"/>
        </w:rPr>
      </w:pPr>
      <w:r>
        <w:rPr>
          <w:rFonts w:ascii="Century Schoolbook" w:eastAsia="Century Schoolbook" w:hAnsi="Century Schoolbook" w:cs="Century Schoolbook"/>
          <w:smallCaps/>
          <w:sz w:val="22"/>
          <w:szCs w:val="22"/>
        </w:rPr>
        <w:t>Scheda AIR</w:t>
      </w:r>
    </w:p>
    <w:p w14:paraId="73F15765" w14:textId="77777777" w:rsidR="00745B8C" w:rsidRDefault="005F358F">
      <w:pPr>
        <w:spacing w:line="360" w:lineRule="auto"/>
        <w:jc w:val="center"/>
        <w:rPr>
          <w:rFonts w:ascii="Century Schoolbook" w:eastAsia="Century Schoolbook" w:hAnsi="Century Schoolbook" w:cs="Century Schoolbook"/>
          <w:smallCaps/>
          <w:sz w:val="22"/>
          <w:szCs w:val="22"/>
        </w:rPr>
      </w:pPr>
      <w:r>
        <w:rPr>
          <w:rFonts w:ascii="Century Schoolbook" w:eastAsia="Century Schoolbook" w:hAnsi="Century Schoolbook" w:cs="Century Schoolbook"/>
          <w:smallCaps/>
          <w:sz w:val="22"/>
          <w:szCs w:val="22"/>
        </w:rPr>
        <w:t>Analisi di Impatto della Regolamentazione</w:t>
      </w:r>
    </w:p>
    <w:p w14:paraId="0CB2B282" w14:textId="77777777" w:rsidR="00745B8C" w:rsidRDefault="005F358F">
      <w:pPr>
        <w:spacing w:after="160" w:line="259" w:lineRule="auto"/>
        <w:rPr>
          <w:rFonts w:ascii="Century Schoolbook" w:eastAsia="Century Schoolbook" w:hAnsi="Century Schoolbook" w:cs="Century Schoolbook"/>
          <w:smallCaps/>
        </w:rPr>
      </w:pPr>
      <w:r>
        <w:br w:type="page"/>
      </w:r>
    </w:p>
    <w:p w14:paraId="3E76DF99" w14:textId="77777777" w:rsidR="00745B8C" w:rsidRDefault="005F358F">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b/>
        </w:rPr>
        <w:lastRenderedPageBreak/>
        <w:t>SOMMARIO</w:t>
      </w:r>
    </w:p>
    <w:p w14:paraId="716CB729" w14:textId="77777777" w:rsidR="00745B8C" w:rsidRDefault="005F358F">
      <w:pPr>
        <w:spacing w:before="240"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1 - Contesto e obiettivi dell’intervento di regolamentazione</w:t>
      </w:r>
    </w:p>
    <w:p w14:paraId="72BBA424" w14:textId="77777777" w:rsidR="00745B8C" w:rsidRDefault="005F358F">
      <w:pPr>
        <w:numPr>
          <w:ilvl w:val="0"/>
          <w:numId w:val="6"/>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La rappresentazione del problema da risolvere e delle criticità constatate, anche con riferimento al contesto internazionale ed europeo, nonché delle esigenze sociali ed economiche considerate</w:t>
      </w:r>
    </w:p>
    <w:p w14:paraId="2394E9D9" w14:textId="77777777" w:rsidR="00745B8C" w:rsidRDefault="005F358F">
      <w:pPr>
        <w:numPr>
          <w:ilvl w:val="0"/>
          <w:numId w:val="6"/>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Indicazione degli obiettivi perseguiti con l’intervento normativo</w:t>
      </w:r>
    </w:p>
    <w:p w14:paraId="22DBEB8C" w14:textId="77777777" w:rsidR="00745B8C" w:rsidRDefault="005F358F">
      <w:pPr>
        <w:numPr>
          <w:ilvl w:val="0"/>
          <w:numId w:val="6"/>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Descrizione degli indicatori che consentono di verificare il grado di raggiungimento degli obiettivi indicati e di monitorare l’attuazione dell’intervento nell’ambito della VIR</w:t>
      </w:r>
    </w:p>
    <w:p w14:paraId="69E818CC" w14:textId="77777777" w:rsidR="00745B8C" w:rsidRDefault="005F358F">
      <w:pPr>
        <w:numPr>
          <w:ilvl w:val="0"/>
          <w:numId w:val="6"/>
        </w:numPr>
        <w:pBdr>
          <w:top w:val="nil"/>
          <w:left w:val="nil"/>
          <w:bottom w:val="nil"/>
          <w:right w:val="nil"/>
          <w:between w:val="nil"/>
        </w:pBdr>
        <w:spacing w:after="240"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Indicazione delle categorie dei soggetti, pubblici e privati, destinatari dei principali effetti dell’intervento regolatorio</w:t>
      </w:r>
    </w:p>
    <w:p w14:paraId="080C3A22" w14:textId="77777777" w:rsidR="00745B8C" w:rsidRDefault="005F358F">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2 - Procedure di consultazione precedenti l’intervento</w:t>
      </w:r>
    </w:p>
    <w:p w14:paraId="581ECCAB" w14:textId="77777777" w:rsidR="00745B8C" w:rsidRDefault="005F358F">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3 - Valutazione dell’opzione di non intervento di regolamentazione (opzione zero)</w:t>
      </w:r>
    </w:p>
    <w:p w14:paraId="309E9D4E" w14:textId="77777777" w:rsidR="00745B8C" w:rsidRDefault="005F358F">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SEZIONE 4 - </w:t>
      </w:r>
      <w:proofErr w:type="gramStart"/>
      <w:r>
        <w:rPr>
          <w:rFonts w:ascii="Century Schoolbook" w:eastAsia="Century Schoolbook" w:hAnsi="Century Schoolbook" w:cs="Century Schoolbook"/>
          <w:sz w:val="22"/>
          <w:szCs w:val="22"/>
        </w:rPr>
        <w:t>Opzioni alternative</w:t>
      </w:r>
      <w:proofErr w:type="gramEnd"/>
      <w:r>
        <w:rPr>
          <w:rFonts w:ascii="Century Schoolbook" w:eastAsia="Century Schoolbook" w:hAnsi="Century Schoolbook" w:cs="Century Schoolbook"/>
          <w:sz w:val="22"/>
          <w:szCs w:val="22"/>
        </w:rPr>
        <w:t xml:space="preserve"> all’intervento regolatorio</w:t>
      </w:r>
    </w:p>
    <w:p w14:paraId="5005835D" w14:textId="77777777" w:rsidR="00745B8C" w:rsidRDefault="005F358F">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5 - Giustificazione dell’opzione regolatoria proposta e valutazione degli oneri amministrativi e dell’impatto sulle PMI</w:t>
      </w:r>
    </w:p>
    <w:p w14:paraId="7E8D724E" w14:textId="77777777" w:rsidR="00745B8C" w:rsidRDefault="005F358F">
      <w:pPr>
        <w:numPr>
          <w:ilvl w:val="0"/>
          <w:numId w:val="3"/>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Svantaggi e vantaggi dell’opzione prescelta per i destinatari diretti e indiretti</w:t>
      </w:r>
    </w:p>
    <w:p w14:paraId="13670D47" w14:textId="77777777" w:rsidR="00745B8C" w:rsidRDefault="005F358F">
      <w:pPr>
        <w:numPr>
          <w:ilvl w:val="0"/>
          <w:numId w:val="3"/>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Individuazione e stima degli effetti dell’opzione prescelta sulle micro, piccole e medie imprese</w:t>
      </w:r>
    </w:p>
    <w:p w14:paraId="737528D8" w14:textId="77777777" w:rsidR="00745B8C" w:rsidRDefault="005F358F">
      <w:pPr>
        <w:numPr>
          <w:ilvl w:val="0"/>
          <w:numId w:val="3"/>
        </w:numPr>
        <w:pBdr>
          <w:top w:val="nil"/>
          <w:left w:val="nil"/>
          <w:bottom w:val="nil"/>
          <w:right w:val="nil"/>
          <w:between w:val="nil"/>
        </w:pBdr>
        <w:spacing w:after="240" w:line="276" w:lineRule="auto"/>
        <w:jc w:val="both"/>
        <w:rPr>
          <w:rFonts w:ascii="Century Schoolbook" w:eastAsia="Century Schoolbook" w:hAnsi="Century Schoolbook" w:cs="Century Schoolbook"/>
          <w:i/>
          <w:sz w:val="22"/>
          <w:szCs w:val="22"/>
        </w:rPr>
      </w:pPr>
      <w:r>
        <w:rPr>
          <w:rFonts w:ascii="Century Schoolbook" w:eastAsia="Century Schoolbook" w:hAnsi="Century Schoolbook" w:cs="Century Schoolbook"/>
          <w:i/>
          <w:sz w:val="22"/>
          <w:szCs w:val="22"/>
        </w:rPr>
        <w:t>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14:paraId="70ACCE51" w14:textId="77777777" w:rsidR="00745B8C" w:rsidRDefault="005F358F">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6 - Incidenza sul corretto funzionamento concorrenziale del mercato e sulla competitività regionale, nonché sulle politiche giovanili</w:t>
      </w:r>
    </w:p>
    <w:p w14:paraId="3073F057" w14:textId="77777777" w:rsidR="00745B8C" w:rsidRDefault="005F358F">
      <w:pPr>
        <w:spacing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SEZIONE 7 - Modalità attuative dell’intervento di regolamentazione</w:t>
      </w:r>
    </w:p>
    <w:p w14:paraId="6AD7F745" w14:textId="77777777" w:rsidR="00745B8C" w:rsidRDefault="005F358F">
      <w:pPr>
        <w:numPr>
          <w:ilvl w:val="0"/>
          <w:numId w:val="8"/>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Soggetti responsabili dell’attuazione dell’intervento regolatorio</w:t>
      </w:r>
    </w:p>
    <w:p w14:paraId="7A35FEB6" w14:textId="77777777" w:rsidR="00745B8C" w:rsidRDefault="005F358F">
      <w:pPr>
        <w:numPr>
          <w:ilvl w:val="0"/>
          <w:numId w:val="8"/>
        </w:numPr>
        <w:pBdr>
          <w:top w:val="nil"/>
          <w:left w:val="nil"/>
          <w:bottom w:val="nil"/>
          <w:right w:val="nil"/>
          <w:between w:val="nil"/>
        </w:pBdr>
        <w:spacing w:line="276" w:lineRule="auto"/>
        <w:jc w:val="both"/>
        <w:rPr>
          <w:rFonts w:ascii="Century Schoolbook" w:eastAsia="Century Schoolbook" w:hAnsi="Century Schoolbook" w:cs="Century Schoolbook"/>
          <w:i/>
          <w:sz w:val="22"/>
          <w:szCs w:val="22"/>
        </w:rPr>
      </w:pPr>
      <w:r>
        <w:rPr>
          <w:rFonts w:ascii="Century Schoolbook" w:eastAsia="Century Schoolbook" w:hAnsi="Century Schoolbook" w:cs="Century Schoolbook"/>
          <w:i/>
          <w:sz w:val="22"/>
          <w:szCs w:val="22"/>
        </w:rPr>
        <w:t xml:space="preserve">Azioni per la pubblicità e per l’informazione dell’intervento </w:t>
      </w:r>
    </w:p>
    <w:p w14:paraId="047974A5" w14:textId="77777777" w:rsidR="00745B8C" w:rsidRDefault="005F358F">
      <w:pPr>
        <w:numPr>
          <w:ilvl w:val="0"/>
          <w:numId w:val="8"/>
        </w:numPr>
        <w:pBdr>
          <w:top w:val="nil"/>
          <w:left w:val="nil"/>
          <w:bottom w:val="nil"/>
          <w:right w:val="nil"/>
          <w:between w:val="nil"/>
        </w:pBdr>
        <w:spacing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Strumenti e modalità per il controllo e il monitoraggio dell’intervento regolatorio</w:t>
      </w:r>
    </w:p>
    <w:p w14:paraId="427CA067" w14:textId="77777777" w:rsidR="00745B8C" w:rsidRDefault="005F358F">
      <w:pPr>
        <w:numPr>
          <w:ilvl w:val="0"/>
          <w:numId w:val="8"/>
        </w:numPr>
        <w:pBdr>
          <w:top w:val="nil"/>
          <w:left w:val="nil"/>
          <w:bottom w:val="nil"/>
          <w:right w:val="nil"/>
          <w:between w:val="nil"/>
        </w:pBdr>
        <w:spacing w:after="240" w:line="276" w:lineRule="auto"/>
        <w:jc w:val="both"/>
        <w:rPr>
          <w:rFonts w:ascii="Century Schoolbook" w:eastAsia="Century Schoolbook" w:hAnsi="Century Schoolbook" w:cs="Century Schoolbook"/>
          <w:i/>
          <w:color w:val="000000"/>
          <w:sz w:val="22"/>
          <w:szCs w:val="22"/>
        </w:rPr>
      </w:pPr>
      <w:r>
        <w:rPr>
          <w:rFonts w:ascii="Century Schoolbook" w:eastAsia="Century Schoolbook" w:hAnsi="Century Schoolbook" w:cs="Century Schoolbook"/>
          <w:i/>
          <w:color w:val="000000"/>
          <w:sz w:val="22"/>
          <w:szCs w:val="22"/>
        </w:rPr>
        <w:t>Meccanismi previsti per la revisione dell’intervento regolatorio</w:t>
      </w:r>
    </w:p>
    <w:p w14:paraId="42226DAE" w14:textId="77777777" w:rsidR="00745B8C" w:rsidRDefault="005F358F">
      <w:pPr>
        <w:spacing w:line="276" w:lineRule="auto"/>
        <w:jc w:val="both"/>
        <w:rPr>
          <w:rFonts w:ascii="Century Schoolbook" w:eastAsia="Century Schoolbook" w:hAnsi="Century Schoolbook" w:cs="Century Schoolbook"/>
          <w:b/>
          <w:sz w:val="22"/>
          <w:szCs w:val="22"/>
        </w:rPr>
      </w:pPr>
      <w:r>
        <w:rPr>
          <w:rFonts w:ascii="Century Schoolbook" w:eastAsia="Century Schoolbook" w:hAnsi="Century Schoolbook" w:cs="Century Schoolbook"/>
          <w:sz w:val="22"/>
          <w:szCs w:val="22"/>
        </w:rPr>
        <w:t>SEZIONE 8 - Rispetto dei livelli minimi di regolazione europea</w:t>
      </w:r>
      <w:r>
        <w:br w:type="page"/>
      </w:r>
    </w:p>
    <w:p w14:paraId="3DD67305" w14:textId="77777777" w:rsidR="00745B8C" w:rsidRDefault="005F358F">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lastRenderedPageBreak/>
        <w:t>________________________________________________________________________________</w:t>
      </w:r>
    </w:p>
    <w:p w14:paraId="6707533E" w14:textId="77777777" w:rsidR="00745B8C" w:rsidRDefault="005F358F">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1</w:t>
      </w:r>
    </w:p>
    <w:p w14:paraId="1F1155DB" w14:textId="77777777" w:rsidR="00745B8C" w:rsidRDefault="005F358F">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Contesto e obiettivi dell’intervento di regolamentazione</w:t>
      </w:r>
    </w:p>
    <w:p w14:paraId="77176E59" w14:textId="77777777" w:rsidR="00745B8C" w:rsidRDefault="005F358F">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58F14A96" w14:textId="77777777" w:rsidR="00745B8C" w:rsidRDefault="005F358F">
      <w:pPr>
        <w:numPr>
          <w:ilvl w:val="0"/>
          <w:numId w:val="1"/>
        </w:numPr>
        <w:pBdr>
          <w:top w:val="nil"/>
          <w:left w:val="nil"/>
          <w:bottom w:val="nil"/>
          <w:right w:val="nil"/>
          <w:between w:val="nil"/>
        </w:pBdr>
        <w:spacing w:after="20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La rappresentazione del problema da risolvere e delle criticità constatate, anche con riferimento al contesto internazionale ed europeo, nonché delle esigenze sociali ed economiche considerate</w:t>
      </w:r>
    </w:p>
    <w:p w14:paraId="3BC738E1" w14:textId="77777777" w:rsidR="00745B8C" w:rsidRDefault="005F358F">
      <w:pPr>
        <w:tabs>
          <w:tab w:val="left" w:pos="6"/>
        </w:tabs>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L’istituto della fusione rappresenta, accanto alle forme di gestione associata di servizi e funzioni comunali, un peculiare strumento, finalizzato al conseguimento di una dimensione efficiente della </w:t>
      </w:r>
      <w:r>
        <w:rPr>
          <w:rFonts w:ascii="Century Schoolbook" w:eastAsia="Century Schoolbook" w:hAnsi="Century Schoolbook" w:cs="Century Schoolbook"/>
          <w:i/>
          <w:sz w:val="22"/>
          <w:szCs w:val="22"/>
        </w:rPr>
        <w:t>governance</w:t>
      </w:r>
      <w:r>
        <w:rPr>
          <w:rFonts w:ascii="Century Schoolbook" w:eastAsia="Century Schoolbook" w:hAnsi="Century Schoolbook" w:cs="Century Schoolbook"/>
          <w:sz w:val="22"/>
          <w:szCs w:val="22"/>
        </w:rPr>
        <w:t xml:space="preserve"> locale. Si tratta di una forma di riordino volta, in modo particolare, alla razionalizzazione e all’ottimizzazione dell’organizzazione istituzionale, funzionale a contrastare l’eccessiva frammentazione del livello amministrativo comunale.</w:t>
      </w:r>
    </w:p>
    <w:p w14:paraId="64DDE827" w14:textId="77777777" w:rsidR="00745B8C" w:rsidRDefault="005F358F">
      <w:pPr>
        <w:tabs>
          <w:tab w:val="left" w:pos="6"/>
        </w:tabs>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L’istituto della fusione è stato oggetto di un recente intervento di modifica della normativa statale (su tutti la legge 56/2014, c.d. “Delrio”), che ha introdotto alcune disposizioni di incentivazione e maggior favore per i nuovi Comuni così istituiti.</w:t>
      </w:r>
    </w:p>
    <w:p w14:paraId="302006E5" w14:textId="77777777" w:rsidR="00745B8C" w:rsidRDefault="005F358F">
      <w:pPr>
        <w:tabs>
          <w:tab w:val="left" w:pos="6"/>
        </w:tabs>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Nello specifico, l’intervento normativo, che prevede la fusione tra 15 Comuni della Provincia di Salerno (Atena Lucana, Buonabitacolo, Casalbuono, Monte San Giacomo, Montesano sulla Marcellana, Padula, Pertosa, Polla, Sala Consilina, San Pietro al Tanagro, San Rufo, Sant’Arsenio, Sanza, Sassano e Teggiano) nel Comune di Vallo di Diano, trae la sua ragion d’essere nella omogeneità territoriale, culturale e socio-economica del territorio di riferimento, strutturalmente e geograficamente idoneo al riconoscimento di un’unica identità giuridica.</w:t>
      </w:r>
    </w:p>
    <w:p w14:paraId="57B55A27" w14:textId="77777777" w:rsidR="00745B8C" w:rsidRDefault="005F358F">
      <w:pPr>
        <w:tabs>
          <w:tab w:val="left" w:pos="6"/>
        </w:tabs>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Il processo di fusione può costituire anche un potenziale argine ai fenomeni di declino demografico, sociale ed economico che interessano quest’area ormai da decenni: nell’arco del periodo compreso tra il 1971 e 2001, si è infatti registrato un decremento demografico pari al 4,3%, mentre nel decennio successivo (2001-2011) la decrescita della popolazione si è attestata al 2,8%. La variazione demografica nel periodo 2011-2017, stando agli ultimi dati resi noti dall’ISTAT, ha fatto segnare un ulteriore -0,4%.</w:t>
      </w:r>
    </w:p>
    <w:p w14:paraId="635077A3" w14:textId="77777777" w:rsidR="00745B8C" w:rsidRDefault="005F358F">
      <w:pPr>
        <w:tabs>
          <w:tab w:val="left" w:pos="6"/>
        </w:tabs>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Non è un caso se i citati Comuni condividono la comune appartenenza all’Area interna Vallo di Diano, istituita nell’ambito della Strategia Nazionale Aree Interne (SNAI), finalizzata proprio alla promozione e allo sviluppo dei territori più marginali del Paese. </w:t>
      </w:r>
    </w:p>
    <w:p w14:paraId="210A9084" w14:textId="77777777" w:rsidR="00745B8C" w:rsidRDefault="005F358F">
      <w:pPr>
        <w:tabs>
          <w:tab w:val="left" w:pos="6"/>
        </w:tabs>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Gli stessi Comuni sono poi collocati all’interno dell’omonima Comunità montana (anche a seguito della recente inclusione del Comune di Pertosa, avvenuta con legge regionale 4/2022), costituendo parte integrante anche del Parco Nazionale del Cilento, Vallo di Diano e Alburni.</w:t>
      </w:r>
    </w:p>
    <w:p w14:paraId="2D56EBCD" w14:textId="77777777" w:rsidR="00745B8C" w:rsidRDefault="005F358F">
      <w:pPr>
        <w:tabs>
          <w:tab w:val="left" w:pos="6"/>
        </w:tabs>
        <w:spacing w:after="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lastRenderedPageBreak/>
        <w:t xml:space="preserve">La popolazione complessiva residente sul territorio interessato dalla fusione è pari a circa 60.000 abitanti, circostanza che renderebbe il nascente Comune secondo solo a Salerno quanto a consistenza demografica. In particolare, i Comuni con popolazione superiore ai 3.000 abitanti sono Padula, Montesano sulla Marcellana, Polla, Sala Consilina, Sassano e Teggiano, mentre quelli con popolazione inferiore ai 3,000 abitanti (e quindi con l’obbligo di costituire forme associate in base alla normativa statale vigente) sono Atena Lucana, Buonabitacolo, Casalbuono, Monte San Giacomo, Pertosa, San Pietro al Tanagro, San Rufo, Sant’Arsenio e Sanza. </w:t>
      </w:r>
    </w:p>
    <w:p w14:paraId="7AA0D4C3" w14:textId="77777777" w:rsidR="00745B8C" w:rsidRDefault="005F358F">
      <w:pPr>
        <w:tabs>
          <w:tab w:val="left" w:pos="6"/>
        </w:tabs>
        <w:spacing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L’area comprende numerosi luoghi di pregio naturalistico, come le Grotte di Pertosa, la Valle delle Orchidee, il monte Cervati e il fiume Tanagro, ospitando altresì alcuni importanti siti di interesse storico e culturale, fra cui la Certosa di San Lorenzo a Padula e il centro storico di Teggiano, riconosciuti anche dall’UNESCO.</w:t>
      </w:r>
    </w:p>
    <w:p w14:paraId="070F2D03" w14:textId="77777777" w:rsidR="00745B8C" w:rsidRDefault="00745B8C">
      <w:pPr>
        <w:tabs>
          <w:tab w:val="left" w:pos="6"/>
        </w:tabs>
        <w:spacing w:line="276" w:lineRule="auto"/>
        <w:jc w:val="both"/>
        <w:rPr>
          <w:rFonts w:ascii="Century Schoolbook" w:eastAsia="Century Schoolbook" w:hAnsi="Century Schoolbook" w:cs="Century Schoolbook"/>
          <w:sz w:val="22"/>
          <w:szCs w:val="22"/>
        </w:rPr>
      </w:pPr>
    </w:p>
    <w:p w14:paraId="6C3E7C6B" w14:textId="77777777" w:rsidR="00745B8C" w:rsidRDefault="005F358F">
      <w:pPr>
        <w:numPr>
          <w:ilvl w:val="0"/>
          <w:numId w:val="1"/>
        </w:numPr>
        <w:pBdr>
          <w:top w:val="nil"/>
          <w:left w:val="nil"/>
          <w:bottom w:val="nil"/>
          <w:right w:val="nil"/>
          <w:between w:val="nil"/>
        </w:pBdr>
        <w:spacing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Indicazione degli obiettivi perseguiti con l’intervento normativo</w:t>
      </w:r>
    </w:p>
    <w:p w14:paraId="3437F4C8" w14:textId="77777777" w:rsidR="00745B8C" w:rsidRDefault="005F358F">
      <w:pPr>
        <w:pBdr>
          <w:top w:val="nil"/>
          <w:left w:val="nil"/>
          <w:bottom w:val="nil"/>
          <w:right w:val="nil"/>
          <w:between w:val="nil"/>
        </w:pBdr>
        <w:spacing w:before="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L’intervento normativo si prefigge di concretizzare, a seguito dell’eventuale esito positivo del referendum consultivo indetto ai sensi dell’art. 133 della Costituzione, l’iter di fusione tra 15 comuni della Provincia di Salerno in un unico Ente (Comune di Vallo di Diano), in coerenza con la normativa nazionale e regionale vigente in materia, così da generare quelle ricadute positive che una tale scelta comporta sulle singole comunità interessate dal processo. A titolo esemplificativo:</w:t>
      </w:r>
    </w:p>
    <w:p w14:paraId="61B66350" w14:textId="77777777" w:rsidR="00745B8C" w:rsidRDefault="005F358F">
      <w:pPr>
        <w:numPr>
          <w:ilvl w:val="0"/>
          <w:numId w:val="7"/>
        </w:numPr>
        <w:pBdr>
          <w:top w:val="nil"/>
          <w:left w:val="nil"/>
          <w:bottom w:val="nil"/>
          <w:right w:val="nil"/>
          <w:between w:val="nil"/>
        </w:pBdr>
        <w:spacing w:before="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migliore e più efficiente concentrazione delle risorse pubbliche disponibili;</w:t>
      </w:r>
    </w:p>
    <w:p w14:paraId="2D0CD8EB" w14:textId="77777777" w:rsidR="00745B8C" w:rsidRDefault="005F358F">
      <w:pPr>
        <w:numPr>
          <w:ilvl w:val="0"/>
          <w:numId w:val="7"/>
        </w:numPr>
        <w:pBdr>
          <w:top w:val="nil"/>
          <w:left w:val="nil"/>
          <w:bottom w:val="nil"/>
          <w:right w:val="nil"/>
          <w:between w:val="nil"/>
        </w:pBdr>
        <w:spacing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migliore e più efficiente programmazione ed esercizio delle politiche di gestione del territorio;</w:t>
      </w:r>
    </w:p>
    <w:p w14:paraId="60EA7594" w14:textId="77777777" w:rsidR="00745B8C" w:rsidRDefault="005F358F">
      <w:pPr>
        <w:numPr>
          <w:ilvl w:val="0"/>
          <w:numId w:val="7"/>
        </w:numPr>
        <w:pBdr>
          <w:top w:val="nil"/>
          <w:left w:val="nil"/>
          <w:bottom w:val="nil"/>
          <w:right w:val="nil"/>
          <w:between w:val="nil"/>
        </w:pBdr>
        <w:spacing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più efficiente organizzazione del sistema tributario, sia in termini di accertamento che di riscossione dei tributi e tariffe;</w:t>
      </w:r>
    </w:p>
    <w:p w14:paraId="1DAD902D" w14:textId="77777777" w:rsidR="00745B8C" w:rsidRDefault="005F358F">
      <w:pPr>
        <w:numPr>
          <w:ilvl w:val="0"/>
          <w:numId w:val="7"/>
        </w:numPr>
        <w:pBdr>
          <w:top w:val="nil"/>
          <w:left w:val="nil"/>
          <w:bottom w:val="nil"/>
          <w:right w:val="nil"/>
          <w:between w:val="nil"/>
        </w:pBdr>
        <w:spacing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ottimizzazione dei servizi da rendere ai cittadini e delle prestazioni afferenti alle funzioni fondamentali di competenza dell’Ente.</w:t>
      </w:r>
    </w:p>
    <w:p w14:paraId="2680C6EC" w14:textId="77777777" w:rsidR="00745B8C" w:rsidRDefault="00745B8C">
      <w:pPr>
        <w:pBdr>
          <w:top w:val="nil"/>
          <w:left w:val="nil"/>
          <w:bottom w:val="nil"/>
          <w:right w:val="nil"/>
          <w:between w:val="nil"/>
        </w:pBdr>
        <w:spacing w:line="276" w:lineRule="auto"/>
        <w:jc w:val="both"/>
        <w:rPr>
          <w:rFonts w:ascii="Century Schoolbook" w:eastAsia="Century Schoolbook" w:hAnsi="Century Schoolbook" w:cs="Century Schoolbook"/>
          <w:sz w:val="22"/>
          <w:szCs w:val="22"/>
        </w:rPr>
      </w:pPr>
    </w:p>
    <w:p w14:paraId="355C0488" w14:textId="77777777" w:rsidR="00745B8C" w:rsidRDefault="005F358F">
      <w:pPr>
        <w:numPr>
          <w:ilvl w:val="0"/>
          <w:numId w:val="1"/>
        </w:numPr>
        <w:pBdr>
          <w:top w:val="nil"/>
          <w:left w:val="nil"/>
          <w:bottom w:val="nil"/>
          <w:right w:val="nil"/>
          <w:between w:val="nil"/>
        </w:pBdr>
        <w:spacing w:after="24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Descrizione degli indicatori che consentono di verificare il grado di raggiungimento degli obiettivi indicati e di monitorare l’attuazione dell’intervento nell’ambito della VIR</w:t>
      </w:r>
    </w:p>
    <w:p w14:paraId="2626A31C" w14:textId="77777777" w:rsidR="00745B8C" w:rsidRDefault="005F358F">
      <w:pPr>
        <w:pBdr>
          <w:top w:val="nil"/>
          <w:left w:val="nil"/>
          <w:bottom w:val="nil"/>
          <w:right w:val="nil"/>
          <w:between w:val="nil"/>
        </w:pBdr>
        <w:spacing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Il grado di raggiungimento degli obiettivi conseguenti al completamento del processo di fusione sarà dato dall’entità degli effetti organizzativi, economici e sociali che dallo stesso derivano.</w:t>
      </w:r>
    </w:p>
    <w:p w14:paraId="334C2A83" w14:textId="77777777" w:rsidR="00745B8C" w:rsidRDefault="00745B8C">
      <w:pPr>
        <w:pBdr>
          <w:top w:val="nil"/>
          <w:left w:val="nil"/>
          <w:bottom w:val="nil"/>
          <w:right w:val="nil"/>
          <w:between w:val="nil"/>
        </w:pBdr>
        <w:spacing w:line="276" w:lineRule="auto"/>
        <w:jc w:val="both"/>
        <w:rPr>
          <w:rFonts w:ascii="Century Schoolbook" w:eastAsia="Century Schoolbook" w:hAnsi="Century Schoolbook" w:cs="Century Schoolbook"/>
          <w:sz w:val="22"/>
          <w:szCs w:val="22"/>
        </w:rPr>
      </w:pPr>
    </w:p>
    <w:p w14:paraId="0C07A60E" w14:textId="77777777" w:rsidR="00745B8C" w:rsidRDefault="005F358F">
      <w:pPr>
        <w:numPr>
          <w:ilvl w:val="0"/>
          <w:numId w:val="1"/>
        </w:numPr>
        <w:pBdr>
          <w:top w:val="nil"/>
          <w:left w:val="nil"/>
          <w:bottom w:val="nil"/>
          <w:right w:val="nil"/>
          <w:between w:val="nil"/>
        </w:pBdr>
        <w:spacing w:after="240" w:line="276" w:lineRule="auto"/>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Indicazione delle categorie dei soggetti, pubblici e privati, destinatari dei principali effetti dell’intervento regolatorio</w:t>
      </w:r>
    </w:p>
    <w:p w14:paraId="1C7A1EFC" w14:textId="77777777" w:rsidR="00745B8C" w:rsidRDefault="005F358F">
      <w:pPr>
        <w:pBdr>
          <w:top w:val="nil"/>
          <w:left w:val="nil"/>
          <w:bottom w:val="nil"/>
          <w:right w:val="nil"/>
          <w:between w:val="nil"/>
        </w:pBdr>
        <w:spacing w:before="200" w:after="24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lastRenderedPageBreak/>
        <w:t>I principali destinatari degli effetti dell’intervento normativo sono le persone residenti nei 15 Comuni interessati dal processo di fusione, stimate in 59.899 (dati ISTAT 2017), con un tasso di popolazione over 65 del 22,5%, in linea con la media nazionale relativamente alle aree interne.</w:t>
      </w:r>
    </w:p>
    <w:p w14:paraId="1403705B" w14:textId="77777777" w:rsidR="00745B8C" w:rsidRDefault="005F358F">
      <w:pPr>
        <w:pBdr>
          <w:top w:val="nil"/>
          <w:left w:val="nil"/>
          <w:bottom w:val="nil"/>
          <w:right w:val="nil"/>
          <w:between w:val="nil"/>
        </w:pBdr>
        <w:spacing w:before="200" w:line="276" w:lineRule="auto"/>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Destinataria indiretta dell’intervento è la collettività regionale nel suo insieme.</w:t>
      </w:r>
    </w:p>
    <w:p w14:paraId="62FA1F7C" w14:textId="77777777" w:rsidR="00745B8C" w:rsidRDefault="00745B8C">
      <w:pPr>
        <w:pBdr>
          <w:top w:val="nil"/>
          <w:left w:val="nil"/>
          <w:bottom w:val="nil"/>
          <w:right w:val="nil"/>
          <w:between w:val="nil"/>
        </w:pBdr>
        <w:spacing w:line="276" w:lineRule="auto"/>
        <w:jc w:val="both"/>
        <w:rPr>
          <w:rFonts w:ascii="Century Schoolbook" w:eastAsia="Century Schoolbook" w:hAnsi="Century Schoolbook" w:cs="Century Schoolbook"/>
          <w:sz w:val="22"/>
          <w:szCs w:val="22"/>
        </w:rPr>
      </w:pPr>
    </w:p>
    <w:p w14:paraId="3096BC61" w14:textId="77777777" w:rsidR="00745B8C" w:rsidRDefault="005F358F">
      <w:pPr>
        <w:pBdr>
          <w:top w:val="nil"/>
          <w:left w:val="nil"/>
          <w:bottom w:val="nil"/>
          <w:right w:val="nil"/>
          <w:between w:val="nil"/>
        </w:pBd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21C59109" w14:textId="77777777" w:rsidR="00745B8C" w:rsidRDefault="005F358F">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2</w:t>
      </w:r>
    </w:p>
    <w:p w14:paraId="3359B7CC" w14:textId="77777777" w:rsidR="00745B8C" w:rsidRDefault="005F358F">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Procedure di consultazione precedenti l’intervento</w:t>
      </w:r>
    </w:p>
    <w:p w14:paraId="13ECE96D" w14:textId="77777777" w:rsidR="00745B8C" w:rsidRDefault="005F358F">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02C3A5AF" w14:textId="77777777" w:rsidR="00745B8C" w:rsidRDefault="005F358F">
      <w:pP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L’intervento normativo non è stato preceduto da una specifica attività di consultazione, ma scaturisce dall’iniziativa portata avanti nell’ultimo ventennio da Carmelo Bufano, che ha recentemente visto la costituzione del Comitato “Progetto Comune Unico Vallo di Diano”.</w:t>
      </w:r>
    </w:p>
    <w:p w14:paraId="26B7EF10" w14:textId="77777777" w:rsidR="00745B8C" w:rsidRDefault="005F358F">
      <w:pP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Inoltre, la legge reg. n. 54/1974 prevede che la Commissione incaricata dell’esame del testo richieda un parere di carattere consultivo ai Consigli dei Comuni interessati e al Consiglio provinciale, che devono esprimersi entro sessanta giorni dalla ricezione della richiesta. </w:t>
      </w:r>
    </w:p>
    <w:p w14:paraId="795AED09" w14:textId="77777777" w:rsidR="00745B8C" w:rsidRDefault="005F358F">
      <w:pP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Trascorso il termine di sessanta giorni, il progetto di legge e i pareri acquisiti sono infine esaminati dalla Commissione, che li trasmette con propria relazione al Consiglio regionale.</w:t>
      </w:r>
    </w:p>
    <w:p w14:paraId="30447A44" w14:textId="77777777" w:rsidR="00745B8C" w:rsidRDefault="005F358F">
      <w:pP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Qualora il progetto sia ritenuto proponibile, l’Assemblea legislativa provvede a indire il referendum consultivo ai sensi dell’articolo 133 della Costituzione e dell’articolo 14 dello Statuto regionale.</w:t>
      </w:r>
    </w:p>
    <w:p w14:paraId="4E135041" w14:textId="77777777" w:rsidR="00745B8C" w:rsidRDefault="005F358F">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55FAA760" w14:textId="77777777" w:rsidR="00745B8C" w:rsidRDefault="005F358F">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3</w:t>
      </w:r>
    </w:p>
    <w:p w14:paraId="0BF3FEF2" w14:textId="77777777" w:rsidR="00745B8C" w:rsidRDefault="005F358F">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Valutazione dell’opzione di non intervento di regolamentazione (opzione zero)</w:t>
      </w:r>
    </w:p>
    <w:p w14:paraId="2A884110" w14:textId="77777777" w:rsidR="00745B8C" w:rsidRDefault="005F358F">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4834D0AA" w14:textId="77777777" w:rsidR="00745B8C" w:rsidRDefault="005F358F">
      <w:pPr>
        <w:spacing w:after="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zero è stata valutata come non percorribile, in quanto si ritiene necessario dare avvio all’iter finalizzato all’indizione del referendum consultivo delle popolazioni interessate dal progetto di fusione, consentendo al corpo elettorale di potersi esprimere rispetto all’adesione a un progetto che per oltre vent’anni ha coinvolto un numero sempre crescente di cittadini del territorio del Vallo di Diano.</w:t>
      </w:r>
    </w:p>
    <w:p w14:paraId="4927C37B" w14:textId="77777777" w:rsidR="002033F0" w:rsidRDefault="002033F0">
      <w:pPr>
        <w:spacing w:line="276" w:lineRule="auto"/>
        <w:jc w:val="both"/>
        <w:rPr>
          <w:rFonts w:ascii="Century Schoolbook" w:eastAsia="Century Schoolbook" w:hAnsi="Century Schoolbook" w:cs="Century Schoolbook"/>
          <w:b/>
        </w:rPr>
      </w:pPr>
    </w:p>
    <w:p w14:paraId="63BBD992" w14:textId="77777777" w:rsidR="002033F0" w:rsidRDefault="002033F0">
      <w:pPr>
        <w:spacing w:line="276" w:lineRule="auto"/>
        <w:jc w:val="both"/>
        <w:rPr>
          <w:rFonts w:ascii="Century Schoolbook" w:eastAsia="Century Schoolbook" w:hAnsi="Century Schoolbook" w:cs="Century Schoolbook"/>
          <w:b/>
        </w:rPr>
      </w:pPr>
    </w:p>
    <w:p w14:paraId="082DC1F5" w14:textId="77777777" w:rsidR="002033F0" w:rsidRDefault="002033F0">
      <w:pPr>
        <w:spacing w:line="276" w:lineRule="auto"/>
        <w:jc w:val="both"/>
        <w:rPr>
          <w:rFonts w:ascii="Century Schoolbook" w:eastAsia="Century Schoolbook" w:hAnsi="Century Schoolbook" w:cs="Century Schoolbook"/>
          <w:b/>
        </w:rPr>
      </w:pPr>
    </w:p>
    <w:p w14:paraId="06B66EA6" w14:textId="77777777" w:rsidR="002033F0" w:rsidRDefault="002033F0">
      <w:pPr>
        <w:spacing w:line="276" w:lineRule="auto"/>
        <w:jc w:val="both"/>
        <w:rPr>
          <w:rFonts w:ascii="Century Schoolbook" w:eastAsia="Century Schoolbook" w:hAnsi="Century Schoolbook" w:cs="Century Schoolbook"/>
          <w:b/>
        </w:rPr>
      </w:pPr>
    </w:p>
    <w:p w14:paraId="2D35D909" w14:textId="5E76981D" w:rsidR="00745B8C" w:rsidRDefault="005F358F">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lastRenderedPageBreak/>
        <w:t>________________________________________________________________________________</w:t>
      </w:r>
    </w:p>
    <w:p w14:paraId="05D3E87E" w14:textId="77777777" w:rsidR="00745B8C" w:rsidRDefault="005F358F">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4</w:t>
      </w:r>
    </w:p>
    <w:p w14:paraId="2D8AE26C" w14:textId="77777777" w:rsidR="00745B8C" w:rsidRDefault="005F358F">
      <w:pPr>
        <w:spacing w:line="276" w:lineRule="auto"/>
        <w:jc w:val="both"/>
        <w:rPr>
          <w:rFonts w:ascii="Century Schoolbook" w:eastAsia="Century Schoolbook" w:hAnsi="Century Schoolbook" w:cs="Century Schoolbook"/>
          <w:b/>
        </w:rPr>
      </w:pPr>
      <w:proofErr w:type="gramStart"/>
      <w:r>
        <w:rPr>
          <w:rFonts w:ascii="Century Schoolbook" w:eastAsia="Century Schoolbook" w:hAnsi="Century Schoolbook" w:cs="Century Schoolbook"/>
          <w:b/>
        </w:rPr>
        <w:t>Opzioni alternative</w:t>
      </w:r>
      <w:proofErr w:type="gramEnd"/>
      <w:r>
        <w:rPr>
          <w:rFonts w:ascii="Century Schoolbook" w:eastAsia="Century Schoolbook" w:hAnsi="Century Schoolbook" w:cs="Century Schoolbook"/>
          <w:b/>
        </w:rPr>
        <w:t xml:space="preserve"> all’intervento regolatorio</w:t>
      </w:r>
    </w:p>
    <w:p w14:paraId="441D0900" w14:textId="77777777" w:rsidR="00745B8C" w:rsidRDefault="005F358F">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28EF0E95" w14:textId="77777777" w:rsidR="00745B8C" w:rsidRDefault="005F358F">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Non sono configurabili </w:t>
      </w:r>
      <w:proofErr w:type="gramStart"/>
      <w:r>
        <w:rPr>
          <w:rFonts w:ascii="Century Schoolbook" w:eastAsia="Century Schoolbook" w:hAnsi="Century Schoolbook" w:cs="Century Schoolbook"/>
          <w:sz w:val="22"/>
          <w:szCs w:val="22"/>
        </w:rPr>
        <w:t>opzioni alternative</w:t>
      </w:r>
      <w:proofErr w:type="gramEnd"/>
      <w:r>
        <w:rPr>
          <w:rFonts w:ascii="Century Schoolbook" w:eastAsia="Century Schoolbook" w:hAnsi="Century Schoolbook" w:cs="Century Schoolbook"/>
          <w:sz w:val="22"/>
          <w:szCs w:val="22"/>
        </w:rPr>
        <w:t xml:space="preserve"> all’intervento regolatorio, in quanto l’articolo 8 della legge reg. n. 54/1974 dispone espressamente che il procedimento di fusione comunale debba prendere avvio con la presentazione di un progetto di legge, nei casi in cui sia proposto da Consiglieri regionali o dagli altri soggetti legittimati all’iniziativa legislativa ai sensi del vigente Statuto regionale.</w:t>
      </w:r>
    </w:p>
    <w:p w14:paraId="760F2BD7" w14:textId="77777777" w:rsidR="00745B8C" w:rsidRDefault="005F358F">
      <w:pPr>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3F11BC69" w14:textId="77777777" w:rsidR="00745B8C" w:rsidRDefault="005F358F">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5</w:t>
      </w:r>
    </w:p>
    <w:p w14:paraId="2675D1CD" w14:textId="77777777" w:rsidR="00745B8C" w:rsidRDefault="005F358F">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Giustificazione dell’opzione regolatoria proposta e valutazione degli oneri amministrativi e dell’impatto sulle PMI</w:t>
      </w:r>
    </w:p>
    <w:p w14:paraId="10FE6E28" w14:textId="77777777" w:rsidR="00745B8C" w:rsidRDefault="005F358F">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0BD4AF5A" w14:textId="77777777" w:rsidR="00745B8C" w:rsidRDefault="005F358F">
      <w:pPr>
        <w:numPr>
          <w:ilvl w:val="0"/>
          <w:numId w:val="2"/>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Svantaggi e vantaggi dell’opzione prescelta per i destinatari diretti e indiretti</w:t>
      </w:r>
    </w:p>
    <w:p w14:paraId="7957D9B9" w14:textId="77777777" w:rsidR="00745B8C" w:rsidRDefault="005F358F">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In favore del Comune sorto a seguito del procedimento di fusione è prevista, in particolare:</w:t>
      </w:r>
    </w:p>
    <w:p w14:paraId="3A4879BB" w14:textId="77777777" w:rsidR="00745B8C" w:rsidRDefault="005F358F">
      <w:pPr>
        <w:numPr>
          <w:ilvl w:val="0"/>
          <w:numId w:val="4"/>
        </w:num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l’erogazione del contributo straordinario previsto dalla normativa statale per </w:t>
      </w:r>
      <w:proofErr w:type="gramStart"/>
      <w:r>
        <w:rPr>
          <w:rFonts w:ascii="Century Schoolbook" w:eastAsia="Century Schoolbook" w:hAnsi="Century Schoolbook" w:cs="Century Schoolbook"/>
          <w:sz w:val="22"/>
          <w:szCs w:val="22"/>
        </w:rPr>
        <w:t>10</w:t>
      </w:r>
      <w:proofErr w:type="gramEnd"/>
      <w:r>
        <w:rPr>
          <w:rFonts w:ascii="Century Schoolbook" w:eastAsia="Century Schoolbook" w:hAnsi="Century Schoolbook" w:cs="Century Schoolbook"/>
          <w:sz w:val="22"/>
          <w:szCs w:val="22"/>
        </w:rPr>
        <w:t xml:space="preserve"> anni a decorrere dalla fusione;</w:t>
      </w:r>
    </w:p>
    <w:p w14:paraId="0972C797" w14:textId="77777777" w:rsidR="00745B8C" w:rsidRDefault="005F358F">
      <w:pPr>
        <w:numPr>
          <w:ilvl w:val="0"/>
          <w:numId w:val="4"/>
        </w:num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l’erogazione di eventuali contributi straordinari regionali;</w:t>
      </w:r>
    </w:p>
    <w:p w14:paraId="135F985E" w14:textId="77777777" w:rsidR="00745B8C" w:rsidRDefault="005F358F">
      <w:pPr>
        <w:numPr>
          <w:ilvl w:val="0"/>
          <w:numId w:val="4"/>
        </w:num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l’esclusione da vincoli per le assunzioni di personale a tempo indeterminato, nel limite del 100% della spesa relativa al personale di ruolo cessato nell’anno precedente;</w:t>
      </w:r>
    </w:p>
    <w:p w14:paraId="5564FD94" w14:textId="77777777" w:rsidR="00745B8C" w:rsidRDefault="005F358F">
      <w:pPr>
        <w:numPr>
          <w:ilvl w:val="0"/>
          <w:numId w:val="4"/>
        </w:num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il subentro nei benefici, stabiliti dall’Unione Europea o da leggi statali, di cui godevano gli enti estinti.</w:t>
      </w:r>
    </w:p>
    <w:p w14:paraId="1E60EFC8" w14:textId="77777777" w:rsidR="00745B8C" w:rsidRDefault="005F358F">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Le collettività locali interessate dal processo di fusione potranno beneficiare della disponibilità di maggiori risorse da destinare all’incremento della qualità dei servizi offerti, nonché a una possibile riduzione del carico fiscale complessivo.</w:t>
      </w:r>
    </w:p>
    <w:p w14:paraId="07DB9D68" w14:textId="77777777" w:rsidR="00745B8C" w:rsidRDefault="005F358F">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Un altro vantaggio è costituito dalla riduzione dei costi della politica, con particolare riferimento alla contrazione strutturale e immediata del numero degli amministratori locali (consiglieri, assessori e sindaci). La riduzione della rappresentatività per i singoli Comuni originari sarebbe in ogni caso compensata dalla previsione, nel nuovo statuto comunale, di municipi con organi eletti a suffragio universale diretto.</w:t>
      </w:r>
    </w:p>
    <w:p w14:paraId="0F3258C7" w14:textId="77777777" w:rsidR="00745B8C" w:rsidRDefault="00745B8C">
      <w:pPr>
        <w:jc w:val="both"/>
        <w:rPr>
          <w:rFonts w:ascii="Century Schoolbook" w:eastAsia="Century Schoolbook" w:hAnsi="Century Schoolbook" w:cs="Century Schoolbook"/>
          <w:sz w:val="22"/>
          <w:szCs w:val="22"/>
        </w:rPr>
      </w:pPr>
    </w:p>
    <w:p w14:paraId="19849466" w14:textId="77777777" w:rsidR="00745B8C" w:rsidRDefault="00745B8C">
      <w:pPr>
        <w:jc w:val="both"/>
        <w:rPr>
          <w:rFonts w:ascii="Century Schoolbook" w:eastAsia="Century Schoolbook" w:hAnsi="Century Schoolbook" w:cs="Century Schoolbook"/>
          <w:sz w:val="22"/>
          <w:szCs w:val="22"/>
        </w:rPr>
      </w:pPr>
    </w:p>
    <w:p w14:paraId="0E3DD92F" w14:textId="77777777" w:rsidR="00745B8C" w:rsidRDefault="00745B8C">
      <w:pPr>
        <w:jc w:val="both"/>
        <w:rPr>
          <w:rFonts w:ascii="Century Schoolbook" w:eastAsia="Century Schoolbook" w:hAnsi="Century Schoolbook" w:cs="Century Schoolbook"/>
          <w:sz w:val="22"/>
          <w:szCs w:val="22"/>
        </w:rPr>
      </w:pPr>
    </w:p>
    <w:p w14:paraId="75C1A887" w14:textId="77777777" w:rsidR="00745B8C" w:rsidRDefault="005F358F">
      <w:pPr>
        <w:numPr>
          <w:ilvl w:val="0"/>
          <w:numId w:val="2"/>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lastRenderedPageBreak/>
        <w:t>Individuazione e stima degli effetti dell’opzione prescelta sulle micro, piccole e medie imprese</w:t>
      </w:r>
    </w:p>
    <w:p w14:paraId="216B35AF" w14:textId="77777777" w:rsidR="00745B8C" w:rsidRDefault="005F358F">
      <w:pPr>
        <w:spacing w:before="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La regolamentazione non comporta specifici effetti sulle micro, piccole e medie imprese.</w:t>
      </w:r>
    </w:p>
    <w:p w14:paraId="28F7511E" w14:textId="77777777" w:rsidR="00745B8C" w:rsidRDefault="00745B8C">
      <w:pPr>
        <w:jc w:val="both"/>
        <w:rPr>
          <w:rFonts w:ascii="Century Schoolbook" w:eastAsia="Century Schoolbook" w:hAnsi="Century Schoolbook" w:cs="Century Schoolbook"/>
          <w:sz w:val="22"/>
          <w:szCs w:val="22"/>
        </w:rPr>
      </w:pPr>
    </w:p>
    <w:p w14:paraId="32EFBDDF" w14:textId="77777777" w:rsidR="00745B8C" w:rsidRDefault="005F358F">
      <w:pPr>
        <w:numPr>
          <w:ilvl w:val="0"/>
          <w:numId w:val="2"/>
        </w:numPr>
        <w:spacing w:after="200"/>
        <w:jc w:val="both"/>
        <w:rPr>
          <w:rFonts w:ascii="Century Schoolbook" w:eastAsia="Century Schoolbook" w:hAnsi="Century Schoolbook" w:cs="Century Schoolbook"/>
          <w:b/>
          <w:i/>
          <w:sz w:val="22"/>
          <w:szCs w:val="22"/>
        </w:rPr>
      </w:pPr>
      <w:r>
        <w:rPr>
          <w:rFonts w:ascii="Century Schoolbook" w:eastAsia="Century Schoolbook" w:hAnsi="Century Schoolbook" w:cs="Century Schoolbook"/>
          <w:b/>
          <w:i/>
          <w:sz w:val="22"/>
          <w:szCs w:val="22"/>
        </w:rPr>
        <w:t>Indicazione e stima degli oneri informativi e dei relativi costi amministrativi, introdotti o eliminati a carico di cittadini e imprese. Per onere informativo si intende qualunque tipologia di adempimento comportante raccolta, elaborazione, trasmissione, conservazione e produzione di informazioni, comunicazioni e documenti alla pubblica amministrazione</w:t>
      </w:r>
    </w:p>
    <w:p w14:paraId="3253E2EA" w14:textId="77777777" w:rsidR="00745B8C" w:rsidRDefault="005F358F">
      <w:pPr>
        <w:spacing w:before="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 xml:space="preserve">L’intervento regolatorio non comporta riduzione di oneri informativi o costi a carico dei cittadini o delle imprese. </w:t>
      </w:r>
    </w:p>
    <w:p w14:paraId="5734E8BF" w14:textId="77777777" w:rsidR="00745B8C" w:rsidRDefault="005F358F">
      <w:pPr>
        <w:spacing w:after="200"/>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23D1DB01" w14:textId="77777777" w:rsidR="00745B8C" w:rsidRDefault="005F358F">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6</w:t>
      </w:r>
    </w:p>
    <w:p w14:paraId="44CB7341" w14:textId="77777777" w:rsidR="00745B8C" w:rsidRDefault="005F358F">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 xml:space="preserve">Incidenza sul corretto funzionamento concorrenziale del mercato e sulla competitività regionale, nonché sulle politiche giovanili </w:t>
      </w:r>
    </w:p>
    <w:p w14:paraId="4C115FCD" w14:textId="77777777" w:rsidR="00745B8C" w:rsidRDefault="005F358F">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5195177C" w14:textId="77777777" w:rsidR="00745B8C" w:rsidRDefault="005F358F">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L’opzione prescelta non incide sul corretto funzionamento del mercato e sulla competitività regionale. Non sono ravvisabili particolari effetti sulle politiche giovanili della Regione.</w:t>
      </w:r>
    </w:p>
    <w:p w14:paraId="5FB2CBFB" w14:textId="77777777" w:rsidR="00745B8C" w:rsidRDefault="005F358F">
      <w:pPr>
        <w:spacing w:after="240"/>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69485783" w14:textId="77777777" w:rsidR="00745B8C" w:rsidRDefault="005F358F">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7</w:t>
      </w:r>
    </w:p>
    <w:p w14:paraId="17523C0C" w14:textId="77777777" w:rsidR="00745B8C" w:rsidRDefault="005F358F">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sz w:val="22"/>
          <w:szCs w:val="22"/>
        </w:rPr>
        <w:t>Modalità attuative dell’intervento di regolamentazione</w:t>
      </w:r>
      <w:r>
        <w:rPr>
          <w:rFonts w:ascii="Century Schoolbook" w:eastAsia="Century Schoolbook" w:hAnsi="Century Schoolbook" w:cs="Century Schoolbook"/>
          <w:b/>
        </w:rPr>
        <w:t xml:space="preserve"> </w:t>
      </w:r>
    </w:p>
    <w:p w14:paraId="48D64AB6" w14:textId="77777777" w:rsidR="00745B8C" w:rsidRDefault="005F358F">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5FFD045A" w14:textId="77777777" w:rsidR="00745B8C" w:rsidRDefault="005F358F">
      <w:pPr>
        <w:numPr>
          <w:ilvl w:val="0"/>
          <w:numId w:val="5"/>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Soggetti responsabili dell’attuazione dell’intervento regolatorio</w:t>
      </w:r>
    </w:p>
    <w:p w14:paraId="089CE18B" w14:textId="77777777" w:rsidR="00745B8C" w:rsidRDefault="005F358F">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Sono responsabili dell’attuazione delle disposizioni previste dall’intervento normativo la Regione, la Provincia territorialmente competente e i Comuni interessati dal processo di fusione.</w:t>
      </w:r>
    </w:p>
    <w:p w14:paraId="058533BE" w14:textId="77777777" w:rsidR="00745B8C" w:rsidRDefault="00745B8C">
      <w:pPr>
        <w:jc w:val="both"/>
        <w:rPr>
          <w:rFonts w:ascii="Century Schoolbook" w:eastAsia="Century Schoolbook" w:hAnsi="Century Schoolbook" w:cs="Century Schoolbook"/>
          <w:sz w:val="22"/>
          <w:szCs w:val="22"/>
        </w:rPr>
      </w:pPr>
    </w:p>
    <w:p w14:paraId="621EB3DF" w14:textId="77777777" w:rsidR="00745B8C" w:rsidRDefault="005F358F">
      <w:pPr>
        <w:numPr>
          <w:ilvl w:val="0"/>
          <w:numId w:val="5"/>
        </w:numPr>
        <w:pBdr>
          <w:top w:val="nil"/>
          <w:left w:val="nil"/>
          <w:bottom w:val="nil"/>
          <w:right w:val="nil"/>
          <w:between w:val="nil"/>
        </w:pBdr>
        <w:spacing w:after="200"/>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sz w:val="22"/>
          <w:szCs w:val="22"/>
        </w:rPr>
        <w:t>Azioni per la pubblicità e per l’informazione dell’intervento</w:t>
      </w:r>
    </w:p>
    <w:p w14:paraId="4EE76686" w14:textId="77777777" w:rsidR="00745B8C" w:rsidRDefault="005F358F">
      <w:pPr>
        <w:pBdr>
          <w:top w:val="nil"/>
          <w:left w:val="nil"/>
          <w:bottom w:val="nil"/>
          <w:right w:val="nil"/>
          <w:between w:val="nil"/>
        </w:pBd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Non sono previste particolari azioni per la pubblicità e l’informazione dell’intervento, oltre alla consueta pubblicazione sul Bollettino Ufficiale della Regione.</w:t>
      </w:r>
    </w:p>
    <w:p w14:paraId="1E550DD4" w14:textId="77777777" w:rsidR="00745B8C" w:rsidRDefault="00745B8C">
      <w:pPr>
        <w:pBdr>
          <w:top w:val="nil"/>
          <w:left w:val="nil"/>
          <w:bottom w:val="nil"/>
          <w:right w:val="nil"/>
          <w:between w:val="nil"/>
        </w:pBdr>
        <w:jc w:val="both"/>
        <w:rPr>
          <w:rFonts w:ascii="Century Schoolbook" w:eastAsia="Century Schoolbook" w:hAnsi="Century Schoolbook" w:cs="Century Schoolbook"/>
          <w:sz w:val="22"/>
          <w:szCs w:val="22"/>
        </w:rPr>
      </w:pPr>
    </w:p>
    <w:p w14:paraId="40004E1D" w14:textId="77777777" w:rsidR="00745B8C" w:rsidRDefault="005F358F">
      <w:pPr>
        <w:numPr>
          <w:ilvl w:val="0"/>
          <w:numId w:val="5"/>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Strumenti e modalità per il controllo e il monitoraggio dell’intervento regolatorio</w:t>
      </w:r>
    </w:p>
    <w:p w14:paraId="66C18F0A" w14:textId="77777777" w:rsidR="00745B8C" w:rsidRDefault="005F358F">
      <w:pPr>
        <w:spacing w:before="24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Le attività di monitoraggio saranno svolte sulla base della vigente normativa nazionale e regionale in materia di fusioni di Comuni.</w:t>
      </w:r>
    </w:p>
    <w:p w14:paraId="2A99710A" w14:textId="77777777" w:rsidR="00745B8C" w:rsidRDefault="00745B8C">
      <w:pPr>
        <w:jc w:val="both"/>
        <w:rPr>
          <w:rFonts w:ascii="Century Schoolbook" w:eastAsia="Century Schoolbook" w:hAnsi="Century Schoolbook" w:cs="Century Schoolbook"/>
          <w:sz w:val="22"/>
          <w:szCs w:val="22"/>
        </w:rPr>
      </w:pPr>
    </w:p>
    <w:p w14:paraId="5B925084" w14:textId="77777777" w:rsidR="00745B8C" w:rsidRDefault="005F358F">
      <w:pPr>
        <w:numPr>
          <w:ilvl w:val="0"/>
          <w:numId w:val="5"/>
        </w:numPr>
        <w:pBdr>
          <w:top w:val="nil"/>
          <w:left w:val="nil"/>
          <w:bottom w:val="nil"/>
          <w:right w:val="nil"/>
          <w:between w:val="nil"/>
        </w:pBdr>
        <w:jc w:val="both"/>
        <w:rPr>
          <w:rFonts w:ascii="Century Schoolbook" w:eastAsia="Century Schoolbook" w:hAnsi="Century Schoolbook" w:cs="Century Schoolbook"/>
          <w:b/>
          <w:i/>
          <w:color w:val="000000"/>
          <w:sz w:val="22"/>
          <w:szCs w:val="22"/>
        </w:rPr>
      </w:pPr>
      <w:r>
        <w:rPr>
          <w:rFonts w:ascii="Century Schoolbook" w:eastAsia="Century Schoolbook" w:hAnsi="Century Schoolbook" w:cs="Century Schoolbook"/>
          <w:b/>
          <w:i/>
          <w:color w:val="000000"/>
          <w:sz w:val="22"/>
          <w:szCs w:val="22"/>
        </w:rPr>
        <w:t>Meccanismi previsti per la revisione dell’intervento regolatorio</w:t>
      </w:r>
    </w:p>
    <w:p w14:paraId="1727C786" w14:textId="77777777" w:rsidR="00745B8C" w:rsidRDefault="005F358F">
      <w:pPr>
        <w:spacing w:before="200"/>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lastRenderedPageBreak/>
        <w:t>Non sono contemplati specifici meccanismi di revisione dell’articolato. Potrà procedersi alla eventuale revisione dell’intervento regolatorio attraverso modifiche normative con fonti di pari grado.</w:t>
      </w:r>
    </w:p>
    <w:p w14:paraId="6C1E24E9" w14:textId="77777777" w:rsidR="00745B8C" w:rsidRDefault="005F358F">
      <w:pPr>
        <w:spacing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5B7AF88D" w14:textId="77777777" w:rsidR="00745B8C" w:rsidRDefault="005F358F">
      <w:pPr>
        <w:spacing w:before="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SEZIONE 8</w:t>
      </w:r>
    </w:p>
    <w:p w14:paraId="179E2772" w14:textId="77777777" w:rsidR="00745B8C" w:rsidRDefault="005F358F">
      <w:pPr>
        <w:spacing w:line="276" w:lineRule="auto"/>
        <w:jc w:val="both"/>
        <w:rPr>
          <w:rFonts w:ascii="Century Schoolbook" w:eastAsia="Century Schoolbook" w:hAnsi="Century Schoolbook" w:cs="Century Schoolbook"/>
          <w:b/>
          <w:sz w:val="22"/>
          <w:szCs w:val="22"/>
        </w:rPr>
      </w:pPr>
      <w:r>
        <w:rPr>
          <w:rFonts w:ascii="Century Schoolbook" w:eastAsia="Century Schoolbook" w:hAnsi="Century Schoolbook" w:cs="Century Schoolbook"/>
          <w:b/>
          <w:sz w:val="22"/>
          <w:szCs w:val="22"/>
        </w:rPr>
        <w:t>Rispetto dei livelli minimi di regolazione europea</w:t>
      </w:r>
    </w:p>
    <w:p w14:paraId="295BFB4F" w14:textId="77777777" w:rsidR="00745B8C" w:rsidRDefault="005F358F">
      <w:pPr>
        <w:spacing w:after="240" w:line="276" w:lineRule="auto"/>
        <w:jc w:val="both"/>
        <w:rPr>
          <w:rFonts w:ascii="Century Schoolbook" w:eastAsia="Century Schoolbook" w:hAnsi="Century Schoolbook" w:cs="Century Schoolbook"/>
          <w:b/>
        </w:rPr>
      </w:pPr>
      <w:r>
        <w:rPr>
          <w:rFonts w:ascii="Century Schoolbook" w:eastAsia="Century Schoolbook" w:hAnsi="Century Schoolbook" w:cs="Century Schoolbook"/>
          <w:b/>
        </w:rPr>
        <w:t>________________________________________________________________________________</w:t>
      </w:r>
    </w:p>
    <w:p w14:paraId="48C4D6B2" w14:textId="77777777" w:rsidR="00745B8C" w:rsidRDefault="005F358F">
      <w:pPr>
        <w:jc w:val="both"/>
        <w:rPr>
          <w:rFonts w:ascii="Century Schoolbook" w:eastAsia="Century Schoolbook" w:hAnsi="Century Schoolbook" w:cs="Century Schoolbook"/>
          <w:sz w:val="22"/>
          <w:szCs w:val="22"/>
        </w:rPr>
      </w:pPr>
      <w:r>
        <w:rPr>
          <w:rFonts w:ascii="Century Schoolbook" w:eastAsia="Century Schoolbook" w:hAnsi="Century Schoolbook" w:cs="Century Schoolbook"/>
          <w:sz w:val="22"/>
          <w:szCs w:val="22"/>
        </w:rPr>
        <w:t>L’intervento regolatorio rispetta i livelli minimi di regolazione europea, non introducendo requisiti tecnici, obblighi e oneri di portata superiore rispetto a quanto già previsto.</w:t>
      </w:r>
    </w:p>
    <w:sectPr w:rsidR="00745B8C">
      <w:headerReference w:type="default" r:id="rId8"/>
      <w:footerReference w:type="default" r:id="rId9"/>
      <w:headerReference w:type="first" r:id="rId10"/>
      <w:pgSz w:w="11906" w:h="16838"/>
      <w:pgMar w:top="1417" w:right="1134" w:bottom="1134"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AAA9DD" w14:textId="77777777" w:rsidR="00D91822" w:rsidRDefault="00D91822">
      <w:r>
        <w:separator/>
      </w:r>
    </w:p>
  </w:endnote>
  <w:endnote w:type="continuationSeparator" w:id="0">
    <w:p w14:paraId="011B5B20" w14:textId="77777777" w:rsidR="00D91822" w:rsidRDefault="00D91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C2FDA" w14:textId="77777777" w:rsidR="00745B8C" w:rsidRDefault="005F358F">
    <w:pPr>
      <w:pBdr>
        <w:top w:val="nil"/>
        <w:left w:val="nil"/>
        <w:bottom w:val="nil"/>
        <w:right w:val="nil"/>
        <w:between w:val="nil"/>
      </w:pBdr>
      <w:tabs>
        <w:tab w:val="center" w:pos="4819"/>
        <w:tab w:val="right" w:pos="9638"/>
      </w:tabs>
      <w:jc w:val="right"/>
      <w:rPr>
        <w:rFonts w:ascii="Century Schoolbook" w:eastAsia="Century Schoolbook" w:hAnsi="Century Schoolbook" w:cs="Century Schoolbook"/>
        <w:color w:val="000000"/>
        <w:sz w:val="22"/>
        <w:szCs w:val="22"/>
      </w:rPr>
    </w:pPr>
    <w:r>
      <w:rPr>
        <w:rFonts w:ascii="Century Schoolbook" w:eastAsia="Century Schoolbook" w:hAnsi="Century Schoolbook" w:cs="Century Schoolbook"/>
        <w:color w:val="000000"/>
        <w:sz w:val="22"/>
        <w:szCs w:val="22"/>
      </w:rPr>
      <w:fldChar w:fldCharType="begin"/>
    </w:r>
    <w:r>
      <w:rPr>
        <w:rFonts w:ascii="Century Schoolbook" w:eastAsia="Century Schoolbook" w:hAnsi="Century Schoolbook" w:cs="Century Schoolbook"/>
        <w:color w:val="000000"/>
        <w:sz w:val="22"/>
        <w:szCs w:val="22"/>
      </w:rPr>
      <w:instrText>PAGE</w:instrText>
    </w:r>
    <w:r>
      <w:rPr>
        <w:rFonts w:ascii="Century Schoolbook" w:eastAsia="Century Schoolbook" w:hAnsi="Century Schoolbook" w:cs="Century Schoolbook"/>
        <w:color w:val="000000"/>
        <w:sz w:val="22"/>
        <w:szCs w:val="22"/>
      </w:rPr>
      <w:fldChar w:fldCharType="separate"/>
    </w:r>
    <w:r w:rsidR="002033F0">
      <w:rPr>
        <w:rFonts w:ascii="Century Schoolbook" w:eastAsia="Century Schoolbook" w:hAnsi="Century Schoolbook" w:cs="Century Schoolbook"/>
        <w:noProof/>
        <w:color w:val="000000"/>
        <w:sz w:val="22"/>
        <w:szCs w:val="22"/>
      </w:rPr>
      <w:t>2</w:t>
    </w:r>
    <w:r>
      <w:rPr>
        <w:rFonts w:ascii="Century Schoolbook" w:eastAsia="Century Schoolbook" w:hAnsi="Century Schoolbook" w:cs="Century Schoolbook"/>
        <w:color w:val="000000"/>
        <w:sz w:val="22"/>
        <w:szCs w:val="22"/>
      </w:rPr>
      <w:fldChar w:fldCharType="end"/>
    </w:r>
  </w:p>
  <w:p w14:paraId="18948E5F" w14:textId="77777777" w:rsidR="00745B8C" w:rsidRDefault="00745B8C">
    <w:pPr>
      <w:pBdr>
        <w:top w:val="nil"/>
        <w:left w:val="nil"/>
        <w:bottom w:val="nil"/>
        <w:right w:val="nil"/>
        <w:between w:val="nil"/>
      </w:pBdr>
      <w:tabs>
        <w:tab w:val="center" w:pos="4819"/>
        <w:tab w:val="right" w:pos="9638"/>
      </w:tabs>
      <w:rPr>
        <w:rFonts w:ascii="Century Schoolbook" w:eastAsia="Century Schoolbook" w:hAnsi="Century Schoolbook" w:cs="Century Schoolbook"/>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BB2A90" w14:textId="77777777" w:rsidR="00D91822" w:rsidRDefault="00D91822">
      <w:r>
        <w:separator/>
      </w:r>
    </w:p>
  </w:footnote>
  <w:footnote w:type="continuationSeparator" w:id="0">
    <w:p w14:paraId="412BB3E5" w14:textId="77777777" w:rsidR="00D91822" w:rsidRDefault="00D91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3B0C6" w14:textId="77777777" w:rsidR="00745B8C" w:rsidRDefault="005F358F">
    <w:pPr>
      <w:tabs>
        <w:tab w:val="left" w:pos="6490"/>
      </w:tabs>
      <w:rPr>
        <w:sz w:val="23"/>
        <w:szCs w:val="23"/>
      </w:rPr>
    </w:pPr>
    <w:r>
      <w:rPr>
        <w:i/>
        <w:noProof/>
        <w:color w:val="000000"/>
      </w:rPr>
      <w:drawing>
        <wp:anchor distT="0" distB="0" distL="114300" distR="114300" simplePos="0" relativeHeight="251658240" behindDoc="0" locked="0" layoutInCell="1" hidden="0" allowOverlap="1" wp14:anchorId="523A7C95" wp14:editId="28CA3001">
          <wp:simplePos x="0" y="0"/>
          <wp:positionH relativeFrom="margin">
            <wp:align>center</wp:align>
          </wp:positionH>
          <wp:positionV relativeFrom="page">
            <wp:posOffset>448944</wp:posOffset>
          </wp:positionV>
          <wp:extent cx="3002400" cy="1720800"/>
          <wp:effectExtent l="0" t="0" r="0" b="0"/>
          <wp:wrapNone/>
          <wp:docPr id="15" name="image1.png"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r>
      <w:rPr>
        <w:sz w:val="23"/>
        <w:szCs w:val="23"/>
      </w:rPr>
      <w:tab/>
    </w:r>
  </w:p>
  <w:p w14:paraId="5A017205" w14:textId="77777777" w:rsidR="00745B8C" w:rsidRDefault="00745B8C">
    <w:pPr>
      <w:tabs>
        <w:tab w:val="left" w:pos="6490"/>
      </w:tabs>
      <w:rPr>
        <w:sz w:val="23"/>
        <w:szCs w:val="23"/>
      </w:rPr>
    </w:pPr>
  </w:p>
  <w:p w14:paraId="04801EB5" w14:textId="77777777" w:rsidR="00745B8C" w:rsidRDefault="00745B8C">
    <w:pPr>
      <w:tabs>
        <w:tab w:val="left" w:pos="6490"/>
      </w:tabs>
      <w:rPr>
        <w:sz w:val="23"/>
        <w:szCs w:val="23"/>
      </w:rPr>
    </w:pPr>
  </w:p>
  <w:p w14:paraId="4226C704" w14:textId="77777777" w:rsidR="00745B8C" w:rsidRDefault="00745B8C">
    <w:pPr>
      <w:tabs>
        <w:tab w:val="left" w:pos="6490"/>
      </w:tabs>
      <w:rPr>
        <w:sz w:val="23"/>
        <w:szCs w:val="23"/>
      </w:rPr>
    </w:pPr>
  </w:p>
  <w:p w14:paraId="64ADC64F" w14:textId="77777777" w:rsidR="00745B8C" w:rsidRDefault="00745B8C">
    <w:pPr>
      <w:tabs>
        <w:tab w:val="left" w:pos="6490"/>
      </w:tabs>
      <w:rPr>
        <w:sz w:val="23"/>
        <w:szCs w:val="23"/>
      </w:rPr>
    </w:pPr>
  </w:p>
  <w:p w14:paraId="799DA714" w14:textId="77777777" w:rsidR="00745B8C" w:rsidRDefault="00745B8C">
    <w:pPr>
      <w:tabs>
        <w:tab w:val="left" w:pos="6490"/>
      </w:tabs>
      <w:rPr>
        <w:sz w:val="23"/>
        <w:szCs w:val="23"/>
      </w:rPr>
    </w:pPr>
  </w:p>
  <w:p w14:paraId="301F9710" w14:textId="77777777" w:rsidR="00745B8C" w:rsidRDefault="00745B8C">
    <w:pPr>
      <w:tabs>
        <w:tab w:val="left" w:pos="6490"/>
      </w:tabs>
      <w:rPr>
        <w:sz w:val="23"/>
        <w:szCs w:val="23"/>
      </w:rPr>
    </w:pPr>
  </w:p>
  <w:p w14:paraId="46F310C3" w14:textId="77777777" w:rsidR="00745B8C" w:rsidRDefault="00745B8C">
    <w:pPr>
      <w:tabs>
        <w:tab w:val="left" w:pos="6490"/>
      </w:tabs>
      <w:rPr>
        <w:sz w:val="23"/>
        <w:szCs w:val="23"/>
      </w:rPr>
    </w:pPr>
  </w:p>
  <w:p w14:paraId="75D6DB68" w14:textId="77777777" w:rsidR="00745B8C" w:rsidRDefault="00745B8C">
    <w:pPr>
      <w:jc w:val="center"/>
      <w:rPr>
        <w:sz w:val="23"/>
        <w:szCs w:val="23"/>
      </w:rPr>
    </w:pPr>
  </w:p>
  <w:p w14:paraId="4EAC2B6D" w14:textId="77777777" w:rsidR="00745B8C" w:rsidRDefault="00745B8C">
    <w:pPr>
      <w:jc w:val="center"/>
      <w:rPr>
        <w:sz w:val="23"/>
        <w:szCs w:val="23"/>
      </w:rPr>
    </w:pPr>
  </w:p>
  <w:p w14:paraId="3E0ADE2C" w14:textId="77777777" w:rsidR="00745B8C" w:rsidRDefault="00745B8C">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FA350B" w14:textId="77777777" w:rsidR="00745B8C" w:rsidRDefault="00745B8C">
    <w:pPr>
      <w:pBdr>
        <w:top w:val="nil"/>
        <w:left w:val="nil"/>
        <w:bottom w:val="nil"/>
        <w:right w:val="nil"/>
        <w:between w:val="nil"/>
      </w:pBdr>
      <w:tabs>
        <w:tab w:val="center" w:pos="4819"/>
        <w:tab w:val="right" w:pos="9638"/>
      </w:tabs>
      <w:jc w:val="center"/>
      <w:rPr>
        <w:color w:val="000000"/>
      </w:rPr>
    </w:pPr>
  </w:p>
  <w:p w14:paraId="79D1D19E" w14:textId="77777777" w:rsidR="00745B8C" w:rsidRDefault="00745B8C">
    <w:pPr>
      <w:pBdr>
        <w:top w:val="nil"/>
        <w:left w:val="nil"/>
        <w:bottom w:val="nil"/>
        <w:right w:val="nil"/>
        <w:between w:val="nil"/>
      </w:pBdr>
      <w:tabs>
        <w:tab w:val="center" w:pos="4819"/>
        <w:tab w:val="right" w:pos="9638"/>
      </w:tabs>
      <w:jc w:val="center"/>
      <w:rPr>
        <w:color w:val="000000"/>
      </w:rPr>
    </w:pPr>
  </w:p>
  <w:p w14:paraId="01638673" w14:textId="77777777" w:rsidR="00745B8C" w:rsidRDefault="00745B8C">
    <w:pPr>
      <w:pBdr>
        <w:top w:val="nil"/>
        <w:left w:val="nil"/>
        <w:bottom w:val="nil"/>
        <w:right w:val="nil"/>
        <w:between w:val="nil"/>
      </w:pBdr>
      <w:tabs>
        <w:tab w:val="center" w:pos="4819"/>
        <w:tab w:val="right" w:pos="9638"/>
      </w:tabs>
      <w:jc w:val="center"/>
      <w:rPr>
        <w:color w:val="000000"/>
      </w:rPr>
    </w:pPr>
  </w:p>
  <w:p w14:paraId="62299A8E" w14:textId="77777777" w:rsidR="00745B8C" w:rsidRDefault="00745B8C">
    <w:pPr>
      <w:pBdr>
        <w:top w:val="nil"/>
        <w:left w:val="nil"/>
        <w:bottom w:val="nil"/>
        <w:right w:val="nil"/>
        <w:between w:val="nil"/>
      </w:pBdr>
      <w:tabs>
        <w:tab w:val="center" w:pos="4819"/>
        <w:tab w:val="right" w:pos="9638"/>
      </w:tabs>
      <w:jc w:val="center"/>
      <w:rPr>
        <w:color w:val="000000"/>
      </w:rPr>
    </w:pPr>
  </w:p>
  <w:p w14:paraId="711B1CF0" w14:textId="77777777" w:rsidR="00745B8C" w:rsidRDefault="00745B8C">
    <w:pPr>
      <w:pBdr>
        <w:top w:val="nil"/>
        <w:left w:val="nil"/>
        <w:bottom w:val="nil"/>
        <w:right w:val="nil"/>
        <w:between w:val="nil"/>
      </w:pBdr>
      <w:tabs>
        <w:tab w:val="center" w:pos="4819"/>
        <w:tab w:val="right" w:pos="9638"/>
      </w:tabs>
      <w:jc w:val="center"/>
      <w:rPr>
        <w:color w:val="000000"/>
      </w:rPr>
    </w:pPr>
  </w:p>
  <w:p w14:paraId="3832294F" w14:textId="77777777" w:rsidR="00745B8C" w:rsidRDefault="00745B8C">
    <w:pPr>
      <w:pBdr>
        <w:top w:val="nil"/>
        <w:left w:val="nil"/>
        <w:bottom w:val="nil"/>
        <w:right w:val="nil"/>
        <w:between w:val="nil"/>
      </w:pBdr>
      <w:tabs>
        <w:tab w:val="center" w:pos="4819"/>
        <w:tab w:val="right" w:pos="9638"/>
      </w:tabs>
      <w:jc w:val="center"/>
      <w:rPr>
        <w:color w:val="000000"/>
      </w:rPr>
    </w:pPr>
  </w:p>
  <w:p w14:paraId="77679AEE" w14:textId="77777777" w:rsidR="00745B8C" w:rsidRDefault="00745B8C">
    <w:pPr>
      <w:pBdr>
        <w:top w:val="nil"/>
        <w:left w:val="nil"/>
        <w:bottom w:val="nil"/>
        <w:right w:val="nil"/>
        <w:between w:val="nil"/>
      </w:pBdr>
      <w:tabs>
        <w:tab w:val="center" w:pos="4819"/>
        <w:tab w:val="right" w:pos="9638"/>
      </w:tabs>
      <w:jc w:val="center"/>
      <w:rPr>
        <w:color w:val="000000"/>
      </w:rPr>
    </w:pPr>
  </w:p>
  <w:p w14:paraId="5CAF977E" w14:textId="77777777" w:rsidR="00745B8C" w:rsidRDefault="00745B8C">
    <w:pPr>
      <w:pBdr>
        <w:top w:val="nil"/>
        <w:left w:val="nil"/>
        <w:bottom w:val="nil"/>
        <w:right w:val="nil"/>
        <w:between w:val="nil"/>
      </w:pBdr>
      <w:tabs>
        <w:tab w:val="center" w:pos="4819"/>
        <w:tab w:val="right" w:pos="9638"/>
      </w:tabs>
      <w:jc w:val="center"/>
      <w:rPr>
        <w:color w:val="000000"/>
      </w:rPr>
    </w:pPr>
  </w:p>
  <w:p w14:paraId="5753A080" w14:textId="77777777" w:rsidR="00745B8C" w:rsidRDefault="00745B8C">
    <w:pPr>
      <w:pBdr>
        <w:top w:val="nil"/>
        <w:left w:val="nil"/>
        <w:bottom w:val="nil"/>
        <w:right w:val="nil"/>
        <w:between w:val="nil"/>
      </w:pBdr>
      <w:tabs>
        <w:tab w:val="center" w:pos="4819"/>
        <w:tab w:val="right" w:pos="9638"/>
      </w:tabs>
      <w:jc w:val="center"/>
      <w:rPr>
        <w:color w:val="000000"/>
      </w:rPr>
    </w:pPr>
  </w:p>
  <w:p w14:paraId="3E4145A3" w14:textId="77777777" w:rsidR="00745B8C" w:rsidRDefault="005F358F">
    <w:pPr>
      <w:pBdr>
        <w:top w:val="nil"/>
        <w:left w:val="nil"/>
        <w:bottom w:val="nil"/>
        <w:right w:val="nil"/>
        <w:between w:val="nil"/>
      </w:pBdr>
      <w:tabs>
        <w:tab w:val="center" w:pos="4819"/>
        <w:tab w:val="right" w:pos="9638"/>
      </w:tabs>
      <w:jc w:val="center"/>
      <w:rPr>
        <w:color w:val="000000"/>
      </w:rPr>
    </w:pPr>
    <w:r>
      <w:rPr>
        <w:i/>
        <w:noProof/>
        <w:color w:val="000000"/>
      </w:rPr>
      <w:drawing>
        <wp:anchor distT="0" distB="0" distL="114300" distR="114300" simplePos="0" relativeHeight="251659264" behindDoc="0" locked="0" layoutInCell="1" hidden="0" allowOverlap="1" wp14:anchorId="6FA061F7" wp14:editId="76DB2522">
          <wp:simplePos x="0" y="0"/>
          <wp:positionH relativeFrom="margin">
            <wp:align>center</wp:align>
          </wp:positionH>
          <wp:positionV relativeFrom="page">
            <wp:posOffset>448310</wp:posOffset>
          </wp:positionV>
          <wp:extent cx="3002400" cy="1720800"/>
          <wp:effectExtent l="0" t="0" r="0" b="0"/>
          <wp:wrapNone/>
          <wp:docPr id="14" name="image1.png" descr="Post di Facebook 940x788 px (2)"/>
          <wp:cNvGraphicFramePr/>
          <a:graphic xmlns:a="http://schemas.openxmlformats.org/drawingml/2006/main">
            <a:graphicData uri="http://schemas.openxmlformats.org/drawingml/2006/picture">
              <pic:pic xmlns:pic="http://schemas.openxmlformats.org/drawingml/2006/picture">
                <pic:nvPicPr>
                  <pic:cNvPr id="0" name="image1.png" descr="Post di Facebook 940x788 px (2)"/>
                  <pic:cNvPicPr preferRelativeResize="0"/>
                </pic:nvPicPr>
                <pic:blipFill>
                  <a:blip r:embed="rId1"/>
                  <a:srcRect/>
                  <a:stretch>
                    <a:fillRect/>
                  </a:stretch>
                </pic:blipFill>
                <pic:spPr>
                  <a:xfrm>
                    <a:off x="0" y="0"/>
                    <a:ext cx="3002400" cy="17208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B1DBB"/>
    <w:multiLevelType w:val="multilevel"/>
    <w:tmpl w:val="688C42C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E3E5614"/>
    <w:multiLevelType w:val="multilevel"/>
    <w:tmpl w:val="2752DA2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4E50C53"/>
    <w:multiLevelType w:val="multilevel"/>
    <w:tmpl w:val="1FCE7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E40E46"/>
    <w:multiLevelType w:val="multilevel"/>
    <w:tmpl w:val="9E7216C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5391369C"/>
    <w:multiLevelType w:val="multilevel"/>
    <w:tmpl w:val="87A64B3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55845DA6"/>
    <w:multiLevelType w:val="multilevel"/>
    <w:tmpl w:val="0B9250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997644E"/>
    <w:multiLevelType w:val="multilevel"/>
    <w:tmpl w:val="B1D23EC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7DFD2D98"/>
    <w:multiLevelType w:val="multilevel"/>
    <w:tmpl w:val="A264527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6"/>
  </w:num>
  <w:num w:numId="2">
    <w:abstractNumId w:val="3"/>
  </w:num>
  <w:num w:numId="3">
    <w:abstractNumId w:val="1"/>
  </w:num>
  <w:num w:numId="4">
    <w:abstractNumId w:val="5"/>
  </w:num>
  <w:num w:numId="5">
    <w:abstractNumId w:val="7"/>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B8C"/>
    <w:rsid w:val="002033F0"/>
    <w:rsid w:val="005F358F"/>
    <w:rsid w:val="00697D8C"/>
    <w:rsid w:val="00745B8C"/>
    <w:rsid w:val="00D918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0862A"/>
  <w15:docId w15:val="{7D93A4BF-5C77-4ED6-874B-F172569DB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92B6D"/>
  </w:style>
  <w:style w:type="paragraph" w:styleId="Titolo1">
    <w:name w:val="heading 1"/>
    <w:basedOn w:val="Normale"/>
    <w:link w:val="Titolo1Carattere"/>
    <w:uiPriority w:val="9"/>
    <w:qFormat/>
    <w:rsid w:val="00E94C63"/>
    <w:pPr>
      <w:keepNext/>
      <w:jc w:val="center"/>
      <w:outlineLvl w:val="0"/>
    </w:pPr>
    <w:rPr>
      <w:i/>
      <w:iCs/>
      <w:kern w:val="36"/>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Titolo1Carattere">
    <w:name w:val="Titolo 1 Carattere"/>
    <w:basedOn w:val="Carpredefinitoparagrafo"/>
    <w:link w:val="Titolo1"/>
    <w:uiPriority w:val="9"/>
    <w:rsid w:val="00E94C63"/>
    <w:rPr>
      <w:rFonts w:ascii="Times New Roman" w:hAnsi="Times New Roman" w:cs="Times New Roman"/>
      <w:i/>
      <w:iCs/>
      <w:kern w:val="36"/>
      <w:sz w:val="24"/>
      <w:szCs w:val="24"/>
      <w:lang w:eastAsia="it-IT"/>
    </w:rPr>
  </w:style>
  <w:style w:type="paragraph" w:styleId="NormaleWeb">
    <w:name w:val="Normal (Web)"/>
    <w:basedOn w:val="Normale"/>
    <w:uiPriority w:val="99"/>
    <w:semiHidden/>
    <w:unhideWhenUsed/>
    <w:rsid w:val="00E94C63"/>
    <w:pPr>
      <w:spacing w:before="100" w:beforeAutospacing="1" w:after="100" w:afterAutospacing="1"/>
    </w:pPr>
  </w:style>
  <w:style w:type="character" w:customStyle="1" w:styleId="apple-converted-space">
    <w:name w:val="apple-converted-space"/>
    <w:basedOn w:val="Carpredefinitoparagrafo"/>
    <w:rsid w:val="00E94C63"/>
  </w:style>
  <w:style w:type="character" w:styleId="Enfasigrassetto">
    <w:name w:val="Strong"/>
    <w:basedOn w:val="Carpredefinitoparagrafo"/>
    <w:uiPriority w:val="22"/>
    <w:qFormat/>
    <w:rsid w:val="00E94C63"/>
    <w:rPr>
      <w:b/>
      <w:bCs/>
    </w:rPr>
  </w:style>
  <w:style w:type="paragraph" w:styleId="Testofumetto">
    <w:name w:val="Balloon Text"/>
    <w:basedOn w:val="Normale"/>
    <w:link w:val="TestofumettoCarattere"/>
    <w:uiPriority w:val="99"/>
    <w:semiHidden/>
    <w:unhideWhenUsed/>
    <w:rsid w:val="00BD07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0792"/>
    <w:rPr>
      <w:rFonts w:ascii="Segoe UI" w:hAnsi="Segoe UI" w:cs="Segoe UI"/>
      <w:sz w:val="18"/>
      <w:szCs w:val="18"/>
      <w:lang w:eastAsia="it-IT"/>
    </w:rPr>
  </w:style>
  <w:style w:type="paragraph" w:styleId="Intestazione">
    <w:name w:val="header"/>
    <w:basedOn w:val="Normale"/>
    <w:link w:val="IntestazioneCarattere"/>
    <w:uiPriority w:val="99"/>
    <w:unhideWhenUsed/>
    <w:rsid w:val="00800A33"/>
    <w:pPr>
      <w:tabs>
        <w:tab w:val="center" w:pos="4819"/>
        <w:tab w:val="right" w:pos="9638"/>
      </w:tabs>
    </w:pPr>
  </w:style>
  <w:style w:type="character" w:customStyle="1" w:styleId="IntestazioneCarattere">
    <w:name w:val="Intestazione Carattere"/>
    <w:basedOn w:val="Carpredefinitoparagrafo"/>
    <w:link w:val="Intestazione"/>
    <w:uiPriority w:val="99"/>
    <w:rsid w:val="00800A33"/>
    <w:rPr>
      <w:rFonts w:ascii="Times New Roman" w:hAnsi="Times New Roman" w:cs="Times New Roman"/>
      <w:sz w:val="24"/>
      <w:szCs w:val="24"/>
      <w:lang w:eastAsia="it-IT"/>
    </w:rPr>
  </w:style>
  <w:style w:type="paragraph" w:styleId="Pidipagina">
    <w:name w:val="footer"/>
    <w:basedOn w:val="Normale"/>
    <w:link w:val="PidipaginaCarattere"/>
    <w:uiPriority w:val="99"/>
    <w:unhideWhenUsed/>
    <w:rsid w:val="00800A33"/>
    <w:pPr>
      <w:tabs>
        <w:tab w:val="center" w:pos="4819"/>
        <w:tab w:val="right" w:pos="9638"/>
      </w:tabs>
    </w:pPr>
  </w:style>
  <w:style w:type="character" w:customStyle="1" w:styleId="PidipaginaCarattere">
    <w:name w:val="Piè di pagina Carattere"/>
    <w:basedOn w:val="Carpredefinitoparagrafo"/>
    <w:link w:val="Pidipagina"/>
    <w:uiPriority w:val="99"/>
    <w:rsid w:val="00800A33"/>
    <w:rPr>
      <w:rFonts w:ascii="Times New Roman" w:hAnsi="Times New Roman" w:cs="Times New Roman"/>
      <w:sz w:val="24"/>
      <w:szCs w:val="24"/>
      <w:lang w:eastAsia="it-IT"/>
    </w:rPr>
  </w:style>
  <w:style w:type="table" w:styleId="Grigliatabella">
    <w:name w:val="Table Grid"/>
    <w:basedOn w:val="Tabellanormale"/>
    <w:uiPriority w:val="39"/>
    <w:rsid w:val="000C2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B6B81"/>
    <w:pPr>
      <w:ind w:left="720"/>
      <w:contextualSpacing/>
    </w:pPr>
  </w:style>
  <w:style w:type="character" w:customStyle="1" w:styleId="MSGENFONTSTYLENAMETEMPLATEROLENUMBERMSGENFONTSTYLENAMEBYROLETEXT2">
    <w:name w:val="MSG_EN_FONT_STYLE_NAME_TEMPLATE_ROLE_NUMBER MSG_EN_FONT_STYLE_NAME_BY_ROLE_TEXT 2_"/>
    <w:basedOn w:val="Carpredefinitoparagrafo"/>
    <w:rsid w:val="00DD09D8"/>
    <w:rPr>
      <w:b w:val="0"/>
      <w:bCs w:val="0"/>
      <w:i w:val="0"/>
      <w:iCs w:val="0"/>
      <w:smallCaps w:val="0"/>
      <w:strike w:val="0"/>
      <w:u w:val="none"/>
    </w:rPr>
  </w:style>
  <w:style w:type="character" w:customStyle="1" w:styleId="MSGENFONTSTYLENAMETEMPLATEROLENUMBERMSGENFONTSTYLENAMEBYROLETEXT20">
    <w:name w:val="MSG_EN_FONT_STYLE_NAME_TEMPLATE_ROLE_NUMBER MSG_EN_FONT_STYLE_NAME_BY_ROLE_TEXT 2"/>
    <w:basedOn w:val="MSGENFONTSTYLENAMETEMPLATEROLENUMBERMSGENFONTSTYLENAMEBYROLETEXT2"/>
    <w:rsid w:val="00DD09D8"/>
    <w:rPr>
      <w:rFonts w:ascii="Times New Roman" w:eastAsia="Times New Roman" w:hAnsi="Times New Roman" w:cs="Times New Roman"/>
      <w:b w:val="0"/>
      <w:bCs w:val="0"/>
      <w:i w:val="0"/>
      <w:iCs w:val="0"/>
      <w:smallCaps w:val="0"/>
      <w:strike w:val="0"/>
      <w:color w:val="1C1C1C"/>
      <w:spacing w:val="0"/>
      <w:w w:val="100"/>
      <w:position w:val="0"/>
      <w:sz w:val="24"/>
      <w:szCs w:val="24"/>
      <w:u w:val="none"/>
      <w:lang w:val="it-IT" w:eastAsia="it-IT" w:bidi="it-IT"/>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LPczUKt5gt7np1ewbr1U4ESI/g==">AMUW2mXiac5G6IVhKmvlMlwPSJgNwXS9KrzYfqTg0sj6NLm1cMilntpaele3/FisG0OV9WK6byoOWWjckb7F/xEdp9BVMF5/yPuMBtngTdcMkx7OhcR1qYc=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2208</Words>
  <Characters>12587</Characters>
  <Application>Microsoft Office Word</Application>
  <DocSecurity>0</DocSecurity>
  <Lines>104</Lines>
  <Paragraphs>29</Paragraphs>
  <ScaleCrop>false</ScaleCrop>
  <Company/>
  <LinksUpToDate>false</LinksUpToDate>
  <CharactersWithSpaces>14766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Mocerino Carmine Staff</dc:creator>
  <cp:lastModifiedBy>Michele Cammarano</cp:lastModifiedBy>
  <cp:revision>2</cp:revision>
  <dcterms:created xsi:type="dcterms:W3CDTF">2022-04-07T09:28:00Z</dcterms:created>
  <dcterms:modified xsi:type="dcterms:W3CDTF">2022-04-07T09:28:00Z</dcterms:modified>
</cp:coreProperties>
</file>