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73C83B" w14:textId="77777777" w:rsidR="005A2EC6" w:rsidRDefault="005A2EC6">
      <w:pPr>
        <w:spacing w:line="360" w:lineRule="auto"/>
        <w:jc w:val="right"/>
        <w:rPr>
          <w:rFonts w:ascii="Century Schoolbook" w:eastAsia="Century Schoolbook" w:hAnsi="Century Schoolbook" w:cs="Century Schoolbook"/>
        </w:rPr>
      </w:pPr>
    </w:p>
    <w:p w14:paraId="7FD5311C" w14:textId="77777777" w:rsidR="005A2EC6" w:rsidRDefault="005A2EC6">
      <w:pPr>
        <w:spacing w:line="360" w:lineRule="auto"/>
        <w:jc w:val="center"/>
        <w:rPr>
          <w:rFonts w:ascii="Century Schoolbook" w:eastAsia="Century Schoolbook" w:hAnsi="Century Schoolbook" w:cs="Century Schoolbook"/>
          <w:smallCaps/>
        </w:rPr>
      </w:pPr>
    </w:p>
    <w:p w14:paraId="30C9E96C" w14:textId="77777777" w:rsidR="005A2EC6" w:rsidRDefault="005A2EC6">
      <w:pPr>
        <w:spacing w:line="360" w:lineRule="auto"/>
        <w:jc w:val="center"/>
        <w:rPr>
          <w:rFonts w:ascii="Century Schoolbook" w:eastAsia="Century Schoolbook" w:hAnsi="Century Schoolbook" w:cs="Century Schoolbook"/>
          <w:smallCaps/>
        </w:rPr>
      </w:pPr>
    </w:p>
    <w:p w14:paraId="4D0C9D97" w14:textId="77777777" w:rsidR="005A2EC6" w:rsidRDefault="005A2EC6">
      <w:pPr>
        <w:spacing w:line="360" w:lineRule="auto"/>
        <w:jc w:val="center"/>
        <w:rPr>
          <w:rFonts w:ascii="Century Schoolbook" w:eastAsia="Century Schoolbook" w:hAnsi="Century Schoolbook" w:cs="Century Schoolbook"/>
          <w:smallCaps/>
        </w:rPr>
      </w:pPr>
    </w:p>
    <w:p w14:paraId="78067D06" w14:textId="77777777" w:rsidR="005A2EC6" w:rsidRDefault="005A2EC6">
      <w:pPr>
        <w:spacing w:line="360" w:lineRule="auto"/>
        <w:jc w:val="center"/>
        <w:rPr>
          <w:rFonts w:ascii="Century Schoolbook" w:eastAsia="Century Schoolbook" w:hAnsi="Century Schoolbook" w:cs="Century Schoolbook"/>
          <w:smallCaps/>
        </w:rPr>
      </w:pPr>
    </w:p>
    <w:p w14:paraId="2BF740D9" w14:textId="77777777" w:rsidR="005A2EC6" w:rsidRDefault="00905084">
      <w:pPr>
        <w:jc w:val="center"/>
        <w:rPr>
          <w:rFonts w:ascii="Century Schoolbook" w:eastAsia="Century Schoolbook" w:hAnsi="Century Schoolbook" w:cs="Century Schoolbook"/>
          <w:smallCaps/>
          <w:sz w:val="28"/>
          <w:szCs w:val="28"/>
        </w:rPr>
      </w:pPr>
      <w:r>
        <w:rPr>
          <w:rFonts w:ascii="Century Schoolbook" w:eastAsia="Century Schoolbook" w:hAnsi="Century Schoolbook" w:cs="Century Schoolbook"/>
          <w:smallCaps/>
          <w:sz w:val="28"/>
          <w:szCs w:val="28"/>
        </w:rPr>
        <w:t>Proposta di legge</w:t>
      </w:r>
    </w:p>
    <w:p w14:paraId="477F8D70" w14:textId="77777777" w:rsidR="005A2EC6" w:rsidRDefault="005A2EC6">
      <w:pPr>
        <w:jc w:val="center"/>
        <w:rPr>
          <w:rFonts w:ascii="Century Schoolbook" w:eastAsia="Century Schoolbook" w:hAnsi="Century Schoolbook" w:cs="Century Schoolbook"/>
          <w:smallCaps/>
          <w:sz w:val="28"/>
          <w:szCs w:val="28"/>
        </w:rPr>
      </w:pPr>
    </w:p>
    <w:p w14:paraId="0361DBE8" w14:textId="77777777" w:rsidR="005A2EC6" w:rsidRDefault="00905084">
      <w:pPr>
        <w:jc w:val="center"/>
        <w:rPr>
          <w:rFonts w:ascii="Century Schoolbook" w:eastAsia="Century Schoolbook" w:hAnsi="Century Schoolbook" w:cs="Century Schoolbook"/>
          <w:sz w:val="28"/>
          <w:szCs w:val="28"/>
        </w:rPr>
      </w:pPr>
      <w:r>
        <w:rPr>
          <w:rFonts w:ascii="Century Schoolbook" w:eastAsia="Century Schoolbook" w:hAnsi="Century Schoolbook" w:cs="Century Schoolbook"/>
          <w:sz w:val="28"/>
          <w:szCs w:val="28"/>
        </w:rPr>
        <w:t>Disposizioni per assicurare la libera circolazione del personale del Corpo nazionale dei Vigili del Fuoco nell’ambito del trasporto pubblico regionale. Modifiche alla legge regionale 6 maggio 2013, n. 5 (Disposizioni per la formazione del bilancio annuale 2013 e pluriennale 2013-2015 della Regione Campania - Legge finanziaria regionale 2013)</w:t>
      </w:r>
    </w:p>
    <w:p w14:paraId="5C3DFB11" w14:textId="77777777" w:rsidR="005A2EC6" w:rsidRDefault="005A2EC6">
      <w:pPr>
        <w:jc w:val="center"/>
        <w:rPr>
          <w:rFonts w:ascii="Century Schoolbook" w:eastAsia="Century Schoolbook" w:hAnsi="Century Schoolbook" w:cs="Century Schoolbook"/>
          <w:sz w:val="28"/>
          <w:szCs w:val="28"/>
        </w:rPr>
      </w:pPr>
    </w:p>
    <w:p w14:paraId="50D5A653" w14:textId="77777777" w:rsidR="005A2EC6" w:rsidRDefault="005A2EC6">
      <w:pPr>
        <w:jc w:val="center"/>
        <w:rPr>
          <w:rFonts w:ascii="Century Schoolbook" w:eastAsia="Century Schoolbook" w:hAnsi="Century Schoolbook" w:cs="Century Schoolbook"/>
          <w:sz w:val="28"/>
          <w:szCs w:val="28"/>
        </w:rPr>
      </w:pPr>
    </w:p>
    <w:p w14:paraId="2F5A8E41" w14:textId="77777777" w:rsidR="005A2EC6" w:rsidRDefault="005A2EC6">
      <w:pPr>
        <w:jc w:val="center"/>
        <w:rPr>
          <w:rFonts w:ascii="Century Schoolbook" w:eastAsia="Century Schoolbook" w:hAnsi="Century Schoolbook" w:cs="Century Schoolbook"/>
          <w:sz w:val="28"/>
          <w:szCs w:val="28"/>
        </w:rPr>
      </w:pPr>
    </w:p>
    <w:p w14:paraId="40100DC2" w14:textId="77777777" w:rsidR="005A2EC6" w:rsidRDefault="005A2EC6">
      <w:pPr>
        <w:jc w:val="center"/>
        <w:rPr>
          <w:rFonts w:ascii="Century Schoolbook" w:eastAsia="Century Schoolbook" w:hAnsi="Century Schoolbook" w:cs="Century Schoolbook"/>
          <w:sz w:val="28"/>
          <w:szCs w:val="28"/>
        </w:rPr>
      </w:pPr>
    </w:p>
    <w:p w14:paraId="42ECA384" w14:textId="77777777" w:rsidR="005A2EC6" w:rsidRDefault="005A2EC6">
      <w:pPr>
        <w:spacing w:line="360" w:lineRule="auto"/>
        <w:jc w:val="center"/>
        <w:rPr>
          <w:rFonts w:ascii="Century Schoolbook" w:eastAsia="Century Schoolbook" w:hAnsi="Century Schoolbook" w:cs="Century Schoolbook"/>
          <w:smallCaps/>
        </w:rPr>
      </w:pPr>
    </w:p>
    <w:p w14:paraId="0B49E934" w14:textId="77777777" w:rsidR="005A2EC6" w:rsidRDefault="005A2EC6">
      <w:pPr>
        <w:spacing w:line="360" w:lineRule="auto"/>
        <w:jc w:val="center"/>
        <w:rPr>
          <w:rFonts w:ascii="Century Schoolbook" w:eastAsia="Century Schoolbook" w:hAnsi="Century Schoolbook" w:cs="Century Schoolbook"/>
          <w:smallCaps/>
        </w:rPr>
      </w:pPr>
    </w:p>
    <w:p w14:paraId="2D843919" w14:textId="77777777" w:rsidR="005A2EC6" w:rsidRDefault="005A2EC6">
      <w:pPr>
        <w:spacing w:line="360" w:lineRule="auto"/>
        <w:jc w:val="center"/>
        <w:rPr>
          <w:rFonts w:ascii="Century Schoolbook" w:eastAsia="Century Schoolbook" w:hAnsi="Century Schoolbook" w:cs="Century Schoolbook"/>
          <w:smallCaps/>
        </w:rPr>
      </w:pPr>
    </w:p>
    <w:p w14:paraId="448F3951" w14:textId="77777777" w:rsidR="005A2EC6" w:rsidRDefault="005A2EC6">
      <w:pPr>
        <w:spacing w:line="360" w:lineRule="auto"/>
        <w:jc w:val="center"/>
        <w:rPr>
          <w:rFonts w:ascii="Century Schoolbook" w:eastAsia="Century Schoolbook" w:hAnsi="Century Schoolbook" w:cs="Century Schoolbook"/>
          <w:smallCaps/>
        </w:rPr>
      </w:pPr>
    </w:p>
    <w:p w14:paraId="4596ABF9" w14:textId="77777777" w:rsidR="005A2EC6" w:rsidRDefault="005A2EC6">
      <w:pPr>
        <w:spacing w:line="360" w:lineRule="auto"/>
        <w:jc w:val="center"/>
        <w:rPr>
          <w:rFonts w:ascii="Century Schoolbook" w:eastAsia="Century Schoolbook" w:hAnsi="Century Schoolbook" w:cs="Century Schoolbook"/>
          <w:smallCaps/>
        </w:rPr>
      </w:pPr>
    </w:p>
    <w:p w14:paraId="4050373D" w14:textId="77777777" w:rsidR="005A2EC6" w:rsidRDefault="005A2EC6">
      <w:pPr>
        <w:spacing w:line="360" w:lineRule="auto"/>
        <w:jc w:val="center"/>
        <w:rPr>
          <w:rFonts w:ascii="Century Schoolbook" w:eastAsia="Century Schoolbook" w:hAnsi="Century Schoolbook" w:cs="Century Schoolbook"/>
          <w:smallCaps/>
        </w:rPr>
      </w:pPr>
    </w:p>
    <w:p w14:paraId="6063F972" w14:textId="77777777" w:rsidR="005A2EC6" w:rsidRDefault="005A2EC6">
      <w:pPr>
        <w:spacing w:line="360" w:lineRule="auto"/>
        <w:jc w:val="center"/>
        <w:rPr>
          <w:rFonts w:ascii="Century Schoolbook" w:eastAsia="Century Schoolbook" w:hAnsi="Century Schoolbook" w:cs="Century Schoolbook"/>
          <w:smallCaps/>
        </w:rPr>
      </w:pPr>
    </w:p>
    <w:p w14:paraId="766585E5" w14:textId="77777777" w:rsidR="005A2EC6" w:rsidRDefault="005A2EC6">
      <w:pPr>
        <w:spacing w:line="360" w:lineRule="auto"/>
        <w:jc w:val="center"/>
        <w:rPr>
          <w:rFonts w:ascii="Century Schoolbook" w:eastAsia="Century Schoolbook" w:hAnsi="Century Schoolbook" w:cs="Century Schoolbook"/>
          <w:smallCaps/>
        </w:rPr>
      </w:pPr>
    </w:p>
    <w:p w14:paraId="2FCE8938" w14:textId="77777777" w:rsidR="005A2EC6" w:rsidRDefault="005A2EC6">
      <w:pPr>
        <w:spacing w:line="360" w:lineRule="auto"/>
        <w:jc w:val="center"/>
        <w:rPr>
          <w:rFonts w:ascii="Century Schoolbook" w:eastAsia="Century Schoolbook" w:hAnsi="Century Schoolbook" w:cs="Century Schoolbook"/>
          <w:smallCaps/>
        </w:rPr>
      </w:pPr>
    </w:p>
    <w:p w14:paraId="2172F9E5" w14:textId="77777777" w:rsidR="005A2EC6" w:rsidRDefault="005A2EC6">
      <w:pPr>
        <w:spacing w:line="360" w:lineRule="auto"/>
        <w:rPr>
          <w:rFonts w:ascii="Century Schoolbook" w:eastAsia="Century Schoolbook" w:hAnsi="Century Schoolbook" w:cs="Century Schoolbook"/>
          <w:smallCaps/>
        </w:rPr>
      </w:pPr>
    </w:p>
    <w:p w14:paraId="52E983C8" w14:textId="77777777" w:rsidR="005A2EC6" w:rsidRDefault="00905084">
      <w:pPr>
        <w:spacing w:line="360" w:lineRule="auto"/>
        <w:jc w:val="center"/>
        <w:rPr>
          <w:rFonts w:ascii="Century Schoolbook" w:eastAsia="Century Schoolbook" w:hAnsi="Century Schoolbook" w:cs="Century Schoolbook"/>
          <w:smallCaps/>
          <w:sz w:val="22"/>
          <w:szCs w:val="22"/>
        </w:rPr>
      </w:pPr>
      <w:r>
        <w:rPr>
          <w:rFonts w:ascii="Century Schoolbook" w:eastAsia="Century Schoolbook" w:hAnsi="Century Schoolbook" w:cs="Century Schoolbook"/>
          <w:smallCaps/>
          <w:sz w:val="22"/>
          <w:szCs w:val="22"/>
        </w:rPr>
        <w:t>Scheda AIR</w:t>
      </w:r>
    </w:p>
    <w:p w14:paraId="63717555" w14:textId="77777777" w:rsidR="005A2EC6" w:rsidRDefault="00905084">
      <w:pPr>
        <w:spacing w:line="360" w:lineRule="auto"/>
        <w:jc w:val="center"/>
        <w:rPr>
          <w:rFonts w:ascii="Century Schoolbook" w:eastAsia="Century Schoolbook" w:hAnsi="Century Schoolbook" w:cs="Century Schoolbook"/>
          <w:smallCaps/>
          <w:sz w:val="22"/>
          <w:szCs w:val="22"/>
        </w:rPr>
      </w:pPr>
      <w:r>
        <w:rPr>
          <w:rFonts w:ascii="Century Schoolbook" w:eastAsia="Century Schoolbook" w:hAnsi="Century Schoolbook" w:cs="Century Schoolbook"/>
          <w:smallCaps/>
          <w:sz w:val="22"/>
          <w:szCs w:val="22"/>
        </w:rPr>
        <w:t>Analisi di Impatto della Regolamentazione</w:t>
      </w:r>
    </w:p>
    <w:p w14:paraId="12AF2A61" w14:textId="77777777" w:rsidR="005A2EC6" w:rsidRDefault="00905084">
      <w:pPr>
        <w:spacing w:after="160" w:line="259" w:lineRule="auto"/>
        <w:rPr>
          <w:rFonts w:ascii="Century Schoolbook" w:eastAsia="Century Schoolbook" w:hAnsi="Century Schoolbook" w:cs="Century Schoolbook"/>
          <w:smallCaps/>
        </w:rPr>
      </w:pPr>
      <w:r>
        <w:br w:type="page"/>
      </w:r>
    </w:p>
    <w:p w14:paraId="64F97F50" w14:textId="77777777" w:rsidR="005A2EC6" w:rsidRDefault="00905084">
      <w:p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b/>
        </w:rPr>
        <w:lastRenderedPageBreak/>
        <w:t>SOMMARIO</w:t>
      </w:r>
    </w:p>
    <w:p w14:paraId="5296031E" w14:textId="77777777" w:rsidR="005A2EC6" w:rsidRDefault="00905084">
      <w:pPr>
        <w:spacing w:before="240"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1 - Contesto e obiettivi dell’intervento di regolamentazione</w:t>
      </w:r>
    </w:p>
    <w:p w14:paraId="600274AE" w14:textId="77777777" w:rsidR="005A2EC6" w:rsidRDefault="00905084">
      <w:pPr>
        <w:numPr>
          <w:ilvl w:val="0"/>
          <w:numId w:val="7"/>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La rappresentazione del problema da risolvere e delle criticità constatate, anche con riferimento al contesto internazionale ed europeo, nonché delle esigenze sociali ed economiche considerate</w:t>
      </w:r>
    </w:p>
    <w:p w14:paraId="59432ECC" w14:textId="77777777" w:rsidR="005A2EC6" w:rsidRDefault="00905084">
      <w:pPr>
        <w:numPr>
          <w:ilvl w:val="0"/>
          <w:numId w:val="7"/>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Indicazione degli obiettivi perseguiti con l’intervento normativo</w:t>
      </w:r>
    </w:p>
    <w:p w14:paraId="01671E0E" w14:textId="77777777" w:rsidR="005A2EC6" w:rsidRDefault="00905084">
      <w:pPr>
        <w:numPr>
          <w:ilvl w:val="0"/>
          <w:numId w:val="7"/>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Descrizione degli indicatori che consentono di verificare il grado di raggiungimento degli obiettivi indicati e di monitorare l’attuazione dell’intervento nell’ambito della VIR</w:t>
      </w:r>
    </w:p>
    <w:p w14:paraId="6BF8BFAC" w14:textId="77777777" w:rsidR="005A2EC6" w:rsidRDefault="00905084">
      <w:pPr>
        <w:numPr>
          <w:ilvl w:val="0"/>
          <w:numId w:val="7"/>
        </w:numPr>
        <w:pBdr>
          <w:top w:val="nil"/>
          <w:left w:val="nil"/>
          <w:bottom w:val="nil"/>
          <w:right w:val="nil"/>
          <w:between w:val="nil"/>
        </w:pBdr>
        <w:spacing w:after="240"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Indicazione delle categorie dei soggetti, pubblici e privati, destinatari dei principali effetti dell’intervento regolatorio</w:t>
      </w:r>
    </w:p>
    <w:p w14:paraId="40DE195B" w14:textId="77777777" w:rsidR="005A2EC6" w:rsidRDefault="00905084">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2 - Procedure di consultazione precedenti l’intervento</w:t>
      </w:r>
    </w:p>
    <w:p w14:paraId="237F7E6B" w14:textId="77777777" w:rsidR="005A2EC6" w:rsidRDefault="00905084">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3 - Valutazione dell’opzione di non intervento di regolamentazione (opzione zero)</w:t>
      </w:r>
    </w:p>
    <w:p w14:paraId="6D2197D9" w14:textId="77777777" w:rsidR="005A2EC6" w:rsidRDefault="00905084">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4 - Opzioni alternative all’intervento regolatorio</w:t>
      </w:r>
    </w:p>
    <w:p w14:paraId="3CCB5CE3" w14:textId="77777777" w:rsidR="005A2EC6" w:rsidRDefault="00905084">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5 - Giustificazione dell’opzione regolatoria proposta e valutazione degli oneri amministrativi e dell’impatto sulle PMI</w:t>
      </w:r>
    </w:p>
    <w:p w14:paraId="60B75072" w14:textId="77777777" w:rsidR="005A2EC6" w:rsidRDefault="00905084">
      <w:pPr>
        <w:numPr>
          <w:ilvl w:val="0"/>
          <w:numId w:val="3"/>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Svantaggi e vantaggi dell’opzione prescelta per i destinatari diretti e indiretti</w:t>
      </w:r>
    </w:p>
    <w:p w14:paraId="73961966" w14:textId="77777777" w:rsidR="005A2EC6" w:rsidRDefault="00905084">
      <w:pPr>
        <w:numPr>
          <w:ilvl w:val="0"/>
          <w:numId w:val="3"/>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Individuazione e stima degli effetti dell’opzione prescelta sulle micro, piccole e medie imprese</w:t>
      </w:r>
    </w:p>
    <w:p w14:paraId="60596526" w14:textId="77777777" w:rsidR="005A2EC6" w:rsidRDefault="00905084">
      <w:pPr>
        <w:numPr>
          <w:ilvl w:val="0"/>
          <w:numId w:val="3"/>
        </w:numPr>
        <w:pBdr>
          <w:top w:val="nil"/>
          <w:left w:val="nil"/>
          <w:bottom w:val="nil"/>
          <w:right w:val="nil"/>
          <w:between w:val="nil"/>
        </w:pBdr>
        <w:spacing w:after="240" w:line="276" w:lineRule="auto"/>
        <w:jc w:val="both"/>
        <w:rPr>
          <w:rFonts w:ascii="Century Schoolbook" w:eastAsia="Century Schoolbook" w:hAnsi="Century Schoolbook" w:cs="Century Schoolbook"/>
          <w:i/>
          <w:sz w:val="22"/>
          <w:szCs w:val="22"/>
        </w:rPr>
      </w:pPr>
      <w:r>
        <w:rPr>
          <w:rFonts w:ascii="Century Schoolbook" w:eastAsia="Century Schoolbook" w:hAnsi="Century Schoolbook" w:cs="Century Schoolbook"/>
          <w:i/>
          <w:sz w:val="22"/>
          <w:szCs w:val="22"/>
        </w:rPr>
        <w:t>Indicazione e stima degli oneri informativi e dei relativi costi amministrativi, introdotti o eliminati a carico di cittadini e imprese. Per onere informativo si intende qualunque tipologia di adempimento comportante raccolta, elaborazione, trasmissione, conservazione e produzione di informazioni, comunicazioni e documenti alla pubblica amministrazione</w:t>
      </w:r>
    </w:p>
    <w:p w14:paraId="608A4FD3" w14:textId="77777777" w:rsidR="005A2EC6" w:rsidRDefault="00905084">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6 - Incidenza sul corretto funzionamento concorrenziale del mercato e sulla competitività regionale, nonché sulle politiche giovanili</w:t>
      </w:r>
    </w:p>
    <w:p w14:paraId="35253682" w14:textId="77777777" w:rsidR="005A2EC6" w:rsidRDefault="00905084">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7 - Modalità attuative dell’intervento di regolamentazione</w:t>
      </w:r>
    </w:p>
    <w:p w14:paraId="6FA8DF6F" w14:textId="77777777" w:rsidR="005A2EC6" w:rsidRDefault="00905084">
      <w:pPr>
        <w:numPr>
          <w:ilvl w:val="0"/>
          <w:numId w:val="8"/>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Soggetti responsabili dell’attuazione dell’intervento regolatorio</w:t>
      </w:r>
    </w:p>
    <w:p w14:paraId="3C9086BB" w14:textId="77777777" w:rsidR="005A2EC6" w:rsidRDefault="00905084">
      <w:pPr>
        <w:numPr>
          <w:ilvl w:val="0"/>
          <w:numId w:val="8"/>
        </w:numPr>
        <w:pBdr>
          <w:top w:val="nil"/>
          <w:left w:val="nil"/>
          <w:bottom w:val="nil"/>
          <w:right w:val="nil"/>
          <w:between w:val="nil"/>
        </w:pBdr>
        <w:spacing w:line="276" w:lineRule="auto"/>
        <w:jc w:val="both"/>
        <w:rPr>
          <w:rFonts w:ascii="Century Schoolbook" w:eastAsia="Century Schoolbook" w:hAnsi="Century Schoolbook" w:cs="Century Schoolbook"/>
          <w:i/>
          <w:sz w:val="22"/>
          <w:szCs w:val="22"/>
        </w:rPr>
      </w:pPr>
      <w:r>
        <w:rPr>
          <w:rFonts w:ascii="Century Schoolbook" w:eastAsia="Century Schoolbook" w:hAnsi="Century Schoolbook" w:cs="Century Schoolbook"/>
          <w:i/>
          <w:sz w:val="22"/>
          <w:szCs w:val="22"/>
        </w:rPr>
        <w:t xml:space="preserve">Azioni per la pubblicità e per l’informazione dell’intervento </w:t>
      </w:r>
    </w:p>
    <w:p w14:paraId="0F8D92DF" w14:textId="77777777" w:rsidR="005A2EC6" w:rsidRDefault="00905084">
      <w:pPr>
        <w:numPr>
          <w:ilvl w:val="0"/>
          <w:numId w:val="8"/>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Strumenti e modalità per il controllo e il monitoraggio dell’intervento regolatorio</w:t>
      </w:r>
    </w:p>
    <w:p w14:paraId="45482DCF" w14:textId="77777777" w:rsidR="005A2EC6" w:rsidRDefault="00905084">
      <w:pPr>
        <w:numPr>
          <w:ilvl w:val="0"/>
          <w:numId w:val="8"/>
        </w:numPr>
        <w:pBdr>
          <w:top w:val="nil"/>
          <w:left w:val="nil"/>
          <w:bottom w:val="nil"/>
          <w:right w:val="nil"/>
          <w:between w:val="nil"/>
        </w:pBdr>
        <w:spacing w:after="240"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Meccanismi previsti per la revisione dell’intervento regolatorio</w:t>
      </w:r>
    </w:p>
    <w:p w14:paraId="7D122BE5" w14:textId="77777777" w:rsidR="005A2EC6" w:rsidRDefault="00905084">
      <w:pPr>
        <w:spacing w:line="276" w:lineRule="auto"/>
        <w:jc w:val="both"/>
        <w:rPr>
          <w:rFonts w:ascii="Century Schoolbook" w:eastAsia="Century Schoolbook" w:hAnsi="Century Schoolbook" w:cs="Century Schoolbook"/>
          <w:b/>
          <w:sz w:val="22"/>
          <w:szCs w:val="22"/>
        </w:rPr>
      </w:pPr>
      <w:r>
        <w:rPr>
          <w:rFonts w:ascii="Century Schoolbook" w:eastAsia="Century Schoolbook" w:hAnsi="Century Schoolbook" w:cs="Century Schoolbook"/>
          <w:sz w:val="22"/>
          <w:szCs w:val="22"/>
        </w:rPr>
        <w:t>SEZIONE 8 - Rispetto dei livelli minimi di regolazione europea</w:t>
      </w:r>
      <w:r>
        <w:br w:type="page"/>
      </w:r>
    </w:p>
    <w:p w14:paraId="3D2AFE42" w14:textId="77777777" w:rsidR="005A2EC6" w:rsidRDefault="00905084">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lastRenderedPageBreak/>
        <w:t>________________________________________________________________________________</w:t>
      </w:r>
    </w:p>
    <w:p w14:paraId="3568EC70" w14:textId="77777777" w:rsidR="005A2EC6" w:rsidRDefault="00905084">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1</w:t>
      </w:r>
    </w:p>
    <w:p w14:paraId="154362F3" w14:textId="77777777" w:rsidR="005A2EC6" w:rsidRDefault="00905084">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Contesto e obiettivi dell’intervento di regolamentazione</w:t>
      </w:r>
    </w:p>
    <w:p w14:paraId="5537CB15" w14:textId="77777777" w:rsidR="005A2EC6" w:rsidRDefault="00905084">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5876D76B" w14:textId="77777777" w:rsidR="005A2EC6" w:rsidRDefault="00905084">
      <w:pPr>
        <w:numPr>
          <w:ilvl w:val="0"/>
          <w:numId w:val="1"/>
        </w:numPr>
        <w:pBdr>
          <w:top w:val="nil"/>
          <w:left w:val="nil"/>
          <w:bottom w:val="nil"/>
          <w:right w:val="nil"/>
          <w:between w:val="nil"/>
        </w:pBdr>
        <w:spacing w:after="200" w:line="276" w:lineRule="auto"/>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La rappresentazione del problema da risolvere e delle criticità constatate, anche con riferimento al contesto internazionale ed europeo, nonché delle esigenze sociali ed economiche considerate</w:t>
      </w:r>
    </w:p>
    <w:p w14:paraId="62330833" w14:textId="77777777" w:rsidR="005A2EC6" w:rsidRDefault="00905084">
      <w:pPr>
        <w:tabs>
          <w:tab w:val="left" w:pos="360"/>
        </w:tabs>
        <w:spacing w:before="120" w:after="12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Il personale del Corpo nazionale dei Vigili del Fuoco risulta allo stato beneficiario di uno sconto del 40 per cento sugli abbonamenti annuali al trasporto pubblico locale (ex DGR n. 451 del 02/08/2016), a differenza delle altre Forze di Polizia, che beneficiano invece del diritto alla circolazione gratuita sui mezzi che svolgono servizi di TPL, al fine di fornire eventuale assistenza e intervento in caso di commissione di reati o necessità di ripristino dell’ordine pubblico.</w:t>
      </w:r>
    </w:p>
    <w:p w14:paraId="5ACE6EAF" w14:textId="77777777" w:rsidR="005A2EC6" w:rsidRDefault="00905084">
      <w:pPr>
        <w:tabs>
          <w:tab w:val="left" w:pos="360"/>
        </w:tabs>
        <w:spacing w:before="120" w:after="12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Una tale anomalia si verifica quantunque la normativa nazionale abbia da sempre equiparato il personale dei Vigili del Fuoco agli altri agenti di sicurezza per ciò che riguarda la concessione dei benefici relativi ai viaggi per servizio sui mezzi del trasporto pubblico.</w:t>
      </w:r>
    </w:p>
    <w:p w14:paraId="3C790777" w14:textId="77777777" w:rsidR="005A2EC6" w:rsidRDefault="00905084">
      <w:pPr>
        <w:tabs>
          <w:tab w:val="left" w:pos="360"/>
        </w:tabs>
        <w:spacing w:before="120" w:after="12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Già con la legge n. 1570/1941 (Nuove norme per l’organizzazione dei servizi antincendi) fu stabilito che nell’esercizio delle loro funzioni, gli appartenenti ai Corpi dei vigili del fuoco fossero considerati agenti di pubblica sicurezza e godessero pertanto, nei viaggi per servizio, degli stessi benefici concessi agli agenti della forza pubblica circa l’uso dei pubblici trasporti statali, provinciali e comunali (articolo 8, comma primo).</w:t>
      </w:r>
    </w:p>
    <w:p w14:paraId="0A203C8C" w14:textId="77777777" w:rsidR="00992B8B" w:rsidRDefault="00905084" w:rsidP="00992B8B">
      <w:pPr>
        <w:tabs>
          <w:tab w:val="left" w:pos="360"/>
        </w:tabs>
        <w:spacing w:before="120" w:after="12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Successivamente, l’articolo 6, comma 2, del decreto legislativo n. 139/2006 (Riassetto delle disposizioni relative alle funzioni ed ai compiti del Corpo nazionale dei vigili del fuoco, a norma dell’articolo 11 della legge 29 luglio 2003, n. 229) ha confermato per il personale dei Vigili del Fuoco il riconoscimento, nei viaggi di servizio, dei benefici concessi ai funzionari e agli agenti di polizia giudiziaria e di pubblica sicurezza per l’utilizzo dei mezzi pubblici di trasporto urbano e metropolitano, anche in virtù di un preciso dovere di intervenire da parte degli stessi in presenza di situazioni di pericolo a tutela della pubblica incolumità (art. 55 DPR n. 64/2012).</w:t>
      </w:r>
    </w:p>
    <w:p w14:paraId="11BF71F2" w14:textId="77777777" w:rsidR="00992B8B" w:rsidRDefault="00992B8B" w:rsidP="00992B8B">
      <w:pPr>
        <w:tabs>
          <w:tab w:val="left" w:pos="360"/>
        </w:tabs>
        <w:spacing w:before="120" w:after="120" w:line="276" w:lineRule="auto"/>
        <w:jc w:val="both"/>
        <w:rPr>
          <w:rFonts w:ascii="Century Schoolbook" w:eastAsia="Century Schoolbook" w:hAnsi="Century Schoolbook" w:cs="Century Schoolbook"/>
          <w:sz w:val="22"/>
          <w:szCs w:val="22"/>
        </w:rPr>
      </w:pPr>
    </w:p>
    <w:p w14:paraId="78831565" w14:textId="77777777" w:rsidR="005A2EC6" w:rsidRDefault="00905084">
      <w:pPr>
        <w:numPr>
          <w:ilvl w:val="0"/>
          <w:numId w:val="1"/>
        </w:numPr>
        <w:pBdr>
          <w:top w:val="nil"/>
          <w:left w:val="nil"/>
          <w:bottom w:val="nil"/>
          <w:right w:val="nil"/>
          <w:between w:val="nil"/>
        </w:pBdr>
        <w:spacing w:line="276" w:lineRule="auto"/>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Indicazione degli obiettivi perseguiti con l’intervento normativo</w:t>
      </w:r>
    </w:p>
    <w:p w14:paraId="57D8C4A4" w14:textId="77777777" w:rsidR="005A2EC6" w:rsidRDefault="00905084">
      <w:pPr>
        <w:pBdr>
          <w:top w:val="nil"/>
          <w:left w:val="nil"/>
          <w:bottom w:val="nil"/>
          <w:right w:val="nil"/>
          <w:between w:val="nil"/>
        </w:pBdr>
        <w:spacing w:before="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L’obiettivo dell’intervento normativo è quello di modificare la legislazione regionale vigente, nello specifico il comma 82 dell’articolo 1 della legge reg. 5/2013, prevedendo l’estensione dei benefici relativi alla circolazione sui mezzi del TPL, di cui attualmente beneficiano gli altri agenti di pubblica sicurezza, anche agli appartenenti al Corpo dei Vigili del Fuoco, sulla scorta </w:t>
      </w:r>
      <w:r>
        <w:rPr>
          <w:rFonts w:ascii="Century Schoolbook" w:eastAsia="Century Schoolbook" w:hAnsi="Century Schoolbook" w:cs="Century Schoolbook"/>
          <w:sz w:val="22"/>
          <w:szCs w:val="22"/>
        </w:rPr>
        <w:lastRenderedPageBreak/>
        <w:t>di quanto già contemplato da altre Regioni (Abruzzo, Emilia Romagna, Friuli-Venezia Giulia, Lazio, Liguria, Lombardia, Piemonte, Sardegna, Sicilia e Veneto). Infatti, se da un lato le Forze di Polizia garantiscono l’ordine e la sicurezza pubblica - intesa come “security” - dall’altro i Vigili del Fuoco, avendo come compito istituzionale quello del soccorso tecnico urgente/antincendio, garantiscono la sicurezza intesa come “</w:t>
      </w:r>
      <w:proofErr w:type="spellStart"/>
      <w:r>
        <w:rPr>
          <w:rFonts w:ascii="Century Schoolbook" w:eastAsia="Century Schoolbook" w:hAnsi="Century Schoolbook" w:cs="Century Schoolbook"/>
          <w:sz w:val="22"/>
          <w:szCs w:val="22"/>
        </w:rPr>
        <w:t>safety</w:t>
      </w:r>
      <w:proofErr w:type="spellEnd"/>
      <w:r>
        <w:rPr>
          <w:rFonts w:ascii="Century Schoolbook" w:eastAsia="Century Schoolbook" w:hAnsi="Century Schoolbook" w:cs="Century Schoolbook"/>
          <w:sz w:val="22"/>
          <w:szCs w:val="22"/>
        </w:rPr>
        <w:t>”.</w:t>
      </w:r>
    </w:p>
    <w:p w14:paraId="31FCB8A5" w14:textId="77777777" w:rsidR="005A2EC6" w:rsidRDefault="005A2EC6">
      <w:pPr>
        <w:pBdr>
          <w:top w:val="nil"/>
          <w:left w:val="nil"/>
          <w:bottom w:val="nil"/>
          <w:right w:val="nil"/>
          <w:between w:val="nil"/>
        </w:pBdr>
        <w:spacing w:line="276" w:lineRule="auto"/>
        <w:jc w:val="both"/>
        <w:rPr>
          <w:rFonts w:ascii="Century Schoolbook" w:eastAsia="Century Schoolbook" w:hAnsi="Century Schoolbook" w:cs="Century Schoolbook"/>
          <w:sz w:val="22"/>
          <w:szCs w:val="22"/>
        </w:rPr>
      </w:pPr>
    </w:p>
    <w:p w14:paraId="47446F74" w14:textId="77777777" w:rsidR="005A2EC6" w:rsidRDefault="00905084">
      <w:pPr>
        <w:numPr>
          <w:ilvl w:val="0"/>
          <w:numId w:val="1"/>
        </w:numPr>
        <w:pBdr>
          <w:top w:val="nil"/>
          <w:left w:val="nil"/>
          <w:bottom w:val="nil"/>
          <w:right w:val="nil"/>
          <w:between w:val="nil"/>
        </w:pBdr>
        <w:spacing w:after="240" w:line="276" w:lineRule="auto"/>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Descrizione degli indicatori che consentono di verificare il grado di raggiungimento degli obiettivi indicati e di monitorare l’attuazione dell’intervento nell’ambito della VIR</w:t>
      </w:r>
    </w:p>
    <w:p w14:paraId="277482FE" w14:textId="77777777" w:rsidR="005A2EC6" w:rsidRDefault="00905084">
      <w:pPr>
        <w:pBdr>
          <w:top w:val="nil"/>
          <w:left w:val="nil"/>
          <w:bottom w:val="nil"/>
          <w:right w:val="nil"/>
          <w:between w:val="nil"/>
        </w:pBdr>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Tra gli indicatori che consentiranno di verificare il grado di raggiungimento degli obiettivi vi sarà: </w:t>
      </w:r>
    </w:p>
    <w:p w14:paraId="3BD2198C" w14:textId="77777777" w:rsidR="005A2EC6" w:rsidRDefault="00905084">
      <w:pPr>
        <w:numPr>
          <w:ilvl w:val="0"/>
          <w:numId w:val="4"/>
        </w:numPr>
        <w:pBdr>
          <w:top w:val="nil"/>
          <w:left w:val="nil"/>
          <w:bottom w:val="nil"/>
          <w:right w:val="nil"/>
          <w:between w:val="nil"/>
        </w:pBdr>
        <w:spacing w:line="276" w:lineRule="auto"/>
        <w:ind w:left="283" w:hanging="283"/>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il numero di appartenenti al Corpo nazionale dei Vigili del Fuoco che beneficerà del libero accesso ai servizi di TPL; si tratta di un dato concretamente deducibile, in quanto il personale dei VV.FF., per usufruire della circolazione gratuita, dovrà esibire il tesserino di riconoscimento al momento della salita sul mezzo di TPL, con relativa annotazione da parte del personale di bordo. Inoltre, per gli appartenenti al Corpo nazionale dei Vigili del Fuoco che abitualmente viaggino su tratte dotate di sistemi di bigliettazione elettronica senza alcun personale, sarà necessario fare richiesta di apposita tessera elettronica; </w:t>
      </w:r>
    </w:p>
    <w:p w14:paraId="062AF072" w14:textId="77777777" w:rsidR="005A2EC6" w:rsidRDefault="00905084" w:rsidP="00992B8B">
      <w:pPr>
        <w:numPr>
          <w:ilvl w:val="0"/>
          <w:numId w:val="4"/>
        </w:numPr>
        <w:pBdr>
          <w:top w:val="nil"/>
          <w:left w:val="nil"/>
          <w:bottom w:val="nil"/>
          <w:right w:val="nil"/>
          <w:between w:val="nil"/>
        </w:pBdr>
        <w:spacing w:line="276" w:lineRule="auto"/>
        <w:ind w:left="283" w:hanging="283"/>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riduzione degli episodi di aggressione, nonché degli atti di vandalismo contro mezzi e stazioni, dovuta alla maggiore collaborazione tra agenti di pubblica sicurezza come i Vigili del Fuoco e il personale di bordo. Il riconoscimento alla libera circolazione è infatti subordinato all’obbligo degli appartenenti ai VV.FF. di fornire assistenza a personale e utenti in caso di commissione di reati o per interventi di ripristino dell’ordine pubblico.</w:t>
      </w:r>
    </w:p>
    <w:p w14:paraId="3856FE10" w14:textId="77777777" w:rsidR="005A2EC6" w:rsidRDefault="005A2EC6">
      <w:pPr>
        <w:pBdr>
          <w:top w:val="nil"/>
          <w:left w:val="nil"/>
          <w:bottom w:val="nil"/>
          <w:right w:val="nil"/>
          <w:between w:val="nil"/>
        </w:pBdr>
        <w:spacing w:line="276" w:lineRule="auto"/>
        <w:jc w:val="both"/>
        <w:rPr>
          <w:rFonts w:ascii="Century Schoolbook" w:eastAsia="Century Schoolbook" w:hAnsi="Century Schoolbook" w:cs="Century Schoolbook"/>
          <w:sz w:val="22"/>
          <w:szCs w:val="22"/>
        </w:rPr>
      </w:pPr>
    </w:p>
    <w:p w14:paraId="7C5D6B93" w14:textId="77777777" w:rsidR="005A2EC6" w:rsidRDefault="00905084">
      <w:pPr>
        <w:numPr>
          <w:ilvl w:val="0"/>
          <w:numId w:val="1"/>
        </w:numPr>
        <w:pBdr>
          <w:top w:val="nil"/>
          <w:left w:val="nil"/>
          <w:bottom w:val="nil"/>
          <w:right w:val="nil"/>
          <w:between w:val="nil"/>
        </w:pBdr>
        <w:spacing w:after="240" w:line="276" w:lineRule="auto"/>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Indicazione delle categorie dei soggetti, pubblici e privati, destinatari dei principali effetti dell’intervento regolatorio</w:t>
      </w:r>
    </w:p>
    <w:p w14:paraId="26F4D659" w14:textId="77777777" w:rsidR="005A2EC6" w:rsidRDefault="00905084">
      <w:pPr>
        <w:pBdr>
          <w:top w:val="nil"/>
          <w:left w:val="nil"/>
          <w:bottom w:val="nil"/>
          <w:right w:val="nil"/>
          <w:between w:val="nil"/>
        </w:pBdr>
        <w:spacing w:before="200"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I destinatari degli effetti dell’intervento normativo sono gli appartenenti al Corpo nazionale dei Vigili del Fuoco.</w:t>
      </w:r>
    </w:p>
    <w:p w14:paraId="19CFD632" w14:textId="77777777" w:rsidR="005A2EC6" w:rsidRDefault="00905084">
      <w:pPr>
        <w:pBdr>
          <w:top w:val="nil"/>
          <w:left w:val="nil"/>
          <w:bottom w:val="nil"/>
          <w:right w:val="nil"/>
          <w:between w:val="nil"/>
        </w:pBdr>
        <w:spacing w:before="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Destinataria indiretta dell’intervento è la collettività regionale nel suo insieme, e in particolare gli utenti del trasporto pubblico locale, che potranno beneficiare di condizioni di più elevata sicurezza nell’accesso al servizio.</w:t>
      </w:r>
    </w:p>
    <w:p w14:paraId="5559090A" w14:textId="77777777" w:rsidR="00992B8B" w:rsidRDefault="00992B8B">
      <w:pPr>
        <w:pBdr>
          <w:top w:val="nil"/>
          <w:left w:val="nil"/>
          <w:bottom w:val="nil"/>
          <w:right w:val="nil"/>
          <w:between w:val="nil"/>
        </w:pBdr>
        <w:spacing w:before="200" w:line="276" w:lineRule="auto"/>
        <w:jc w:val="both"/>
        <w:rPr>
          <w:rFonts w:ascii="Century Schoolbook" w:eastAsia="Century Schoolbook" w:hAnsi="Century Schoolbook" w:cs="Century Schoolbook"/>
          <w:sz w:val="22"/>
          <w:szCs w:val="22"/>
        </w:rPr>
      </w:pPr>
    </w:p>
    <w:p w14:paraId="53BCAC68" w14:textId="77777777" w:rsidR="00992B8B" w:rsidRDefault="00992B8B">
      <w:pPr>
        <w:pBdr>
          <w:top w:val="nil"/>
          <w:left w:val="nil"/>
          <w:bottom w:val="nil"/>
          <w:right w:val="nil"/>
          <w:between w:val="nil"/>
        </w:pBdr>
        <w:spacing w:before="200" w:line="276" w:lineRule="auto"/>
        <w:jc w:val="both"/>
        <w:rPr>
          <w:rFonts w:ascii="Century Schoolbook" w:eastAsia="Century Schoolbook" w:hAnsi="Century Schoolbook" w:cs="Century Schoolbook"/>
          <w:sz w:val="22"/>
          <w:szCs w:val="22"/>
        </w:rPr>
      </w:pPr>
    </w:p>
    <w:p w14:paraId="082F0194" w14:textId="77777777" w:rsidR="00992B8B" w:rsidRDefault="00992B8B">
      <w:pPr>
        <w:pBdr>
          <w:top w:val="nil"/>
          <w:left w:val="nil"/>
          <w:bottom w:val="nil"/>
          <w:right w:val="nil"/>
          <w:between w:val="nil"/>
        </w:pBdr>
        <w:spacing w:before="200" w:line="276" w:lineRule="auto"/>
        <w:jc w:val="both"/>
        <w:rPr>
          <w:rFonts w:ascii="Century Schoolbook" w:eastAsia="Century Schoolbook" w:hAnsi="Century Schoolbook" w:cs="Century Schoolbook"/>
          <w:sz w:val="22"/>
          <w:szCs w:val="22"/>
        </w:rPr>
      </w:pPr>
    </w:p>
    <w:p w14:paraId="0E5C3E8B" w14:textId="77777777" w:rsidR="005A2EC6" w:rsidRDefault="00905084">
      <w:pPr>
        <w:pBdr>
          <w:top w:val="nil"/>
          <w:left w:val="nil"/>
          <w:bottom w:val="nil"/>
          <w:right w:val="nil"/>
          <w:between w:val="nil"/>
        </w:pBd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lastRenderedPageBreak/>
        <w:t>________________________________________________________________________________</w:t>
      </w:r>
    </w:p>
    <w:p w14:paraId="03D821AF" w14:textId="77777777" w:rsidR="005A2EC6" w:rsidRDefault="00905084">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2</w:t>
      </w:r>
    </w:p>
    <w:p w14:paraId="1590D91E" w14:textId="77777777" w:rsidR="005A2EC6" w:rsidRDefault="00905084">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Procedure di consultazione precedenti l’intervento</w:t>
      </w:r>
    </w:p>
    <w:p w14:paraId="70E6239F" w14:textId="77777777" w:rsidR="005A2EC6" w:rsidRDefault="00905084">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47F16ECA" w14:textId="77777777" w:rsidR="005A2EC6" w:rsidRDefault="00905084">
      <w:p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L’intervento normativo è stato preceduto da un’attività di consultazione con il Sindacato Autonomo Vigili del Fuoco - CONAPO.</w:t>
      </w:r>
    </w:p>
    <w:p w14:paraId="1434281B" w14:textId="77777777" w:rsidR="005A2EC6" w:rsidRDefault="00905084">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2FF35CCA" w14:textId="77777777" w:rsidR="005A2EC6" w:rsidRDefault="00905084">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3</w:t>
      </w:r>
    </w:p>
    <w:p w14:paraId="263B8814" w14:textId="77777777" w:rsidR="005A2EC6" w:rsidRDefault="00905084">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Valutazione dell’opzione di non intervento di regolamentazione (opzione zero)</w:t>
      </w:r>
    </w:p>
    <w:p w14:paraId="54E020CF" w14:textId="77777777" w:rsidR="005A2EC6" w:rsidRDefault="00905084">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35579239" w14:textId="77777777" w:rsidR="005A2EC6" w:rsidRDefault="00905084">
      <w:p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L’opzione zero è stata valutata come non percorribile, in quanto il mancato intervento di regolamentazione non sarebbe in grado di fornire una risposta valida agli obiettivi e alle finalità indicati nella sezione 1.</w:t>
      </w:r>
    </w:p>
    <w:p w14:paraId="7B915332" w14:textId="77777777" w:rsidR="005A2EC6" w:rsidRDefault="00905084">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113191BD" w14:textId="77777777" w:rsidR="005A2EC6" w:rsidRDefault="00905084">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4</w:t>
      </w:r>
    </w:p>
    <w:p w14:paraId="35B0BAC8" w14:textId="77777777" w:rsidR="005A2EC6" w:rsidRDefault="00905084">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Opzioni alternative all’intervento regolatorio</w:t>
      </w:r>
    </w:p>
    <w:p w14:paraId="57FA4A32" w14:textId="77777777" w:rsidR="005A2EC6" w:rsidRDefault="00905084">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37FD3B34" w14:textId="77777777" w:rsidR="005A2EC6" w:rsidRDefault="00905084">
      <w:p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Non sono configurabili opzioni alternative all’intervento regolatorio, in quanto l’attuazione della disciplina non può che essere riservata a una fonte di rango primario quale la legge regionale (e solo successivamente ai relativi provvedimenti di esecuzione).</w:t>
      </w:r>
    </w:p>
    <w:p w14:paraId="08D507F8" w14:textId="77777777" w:rsidR="005A2EC6" w:rsidRDefault="00905084">
      <w:pPr>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6F9F72E8" w14:textId="77777777" w:rsidR="005A2EC6" w:rsidRDefault="00905084">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5</w:t>
      </w:r>
    </w:p>
    <w:p w14:paraId="530828DD" w14:textId="77777777" w:rsidR="005A2EC6" w:rsidRDefault="00905084">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Giustificazione dell’opzione regolatoria proposta e valutazione degli oneri amministrativi e dell’impatto sulle PMI</w:t>
      </w:r>
    </w:p>
    <w:p w14:paraId="7B14866A" w14:textId="77777777" w:rsidR="005A2EC6" w:rsidRDefault="00905084">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5D75926F" w14:textId="77777777" w:rsidR="005A2EC6" w:rsidRDefault="00905084">
      <w:pPr>
        <w:numPr>
          <w:ilvl w:val="0"/>
          <w:numId w:val="2"/>
        </w:numPr>
        <w:pBdr>
          <w:top w:val="nil"/>
          <w:left w:val="nil"/>
          <w:bottom w:val="nil"/>
          <w:right w:val="nil"/>
          <w:between w:val="nil"/>
        </w:pBdr>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Svantaggi e vantaggi dell’opzione prescelta per i destinatari diretti e indiretti</w:t>
      </w:r>
    </w:p>
    <w:p w14:paraId="027F84F8" w14:textId="77777777" w:rsidR="005A2EC6" w:rsidRDefault="00905084">
      <w:pPr>
        <w:spacing w:before="24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L’opzione proposta determina vantaggi per i destinatari diretti e indiretti dell’intervento, come dettagliatamente elencati alla Sez. 1, lett. d).</w:t>
      </w:r>
    </w:p>
    <w:p w14:paraId="711CCCFF" w14:textId="77777777" w:rsidR="005A2EC6" w:rsidRDefault="00905084">
      <w:pPr>
        <w:spacing w:before="24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Peraltro, l’applicazione di una misura analoga alle altre Forze di Polizia, operativa ormai da anni, ha prodotto un sensibile e documentato miglioramento degli standard di sicurezza sui mezzi pubblici.</w:t>
      </w:r>
    </w:p>
    <w:p w14:paraId="78F14799" w14:textId="77777777" w:rsidR="005A2EC6" w:rsidRDefault="00905084" w:rsidP="00992B8B">
      <w:pPr>
        <w:spacing w:before="24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lastRenderedPageBreak/>
        <w:t>Il presente intervento non comporta svantaggi di alcun genere.</w:t>
      </w:r>
    </w:p>
    <w:p w14:paraId="5B54BE2E" w14:textId="77777777" w:rsidR="005A2EC6" w:rsidRDefault="005A2EC6">
      <w:pPr>
        <w:jc w:val="both"/>
        <w:rPr>
          <w:rFonts w:ascii="Century Schoolbook" w:eastAsia="Century Schoolbook" w:hAnsi="Century Schoolbook" w:cs="Century Schoolbook"/>
          <w:sz w:val="22"/>
          <w:szCs w:val="22"/>
        </w:rPr>
      </w:pPr>
    </w:p>
    <w:p w14:paraId="5D10BF74" w14:textId="77777777" w:rsidR="005A2EC6" w:rsidRDefault="00905084">
      <w:pPr>
        <w:numPr>
          <w:ilvl w:val="0"/>
          <w:numId w:val="2"/>
        </w:numPr>
        <w:pBdr>
          <w:top w:val="nil"/>
          <w:left w:val="nil"/>
          <w:bottom w:val="nil"/>
          <w:right w:val="nil"/>
          <w:between w:val="nil"/>
        </w:pBdr>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Individuazione e stima degli effetti dell’opzione prescelta sulle micro, piccole e medie imprese</w:t>
      </w:r>
    </w:p>
    <w:p w14:paraId="668DAFB0" w14:textId="77777777" w:rsidR="005A2EC6" w:rsidRDefault="00905084">
      <w:pPr>
        <w:spacing w:before="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L’opzione prescelta non produce particolari effetti sulle MPMI campane.</w:t>
      </w:r>
    </w:p>
    <w:p w14:paraId="6499D804" w14:textId="77777777" w:rsidR="005A2EC6" w:rsidRDefault="005A2EC6">
      <w:pPr>
        <w:jc w:val="both"/>
        <w:rPr>
          <w:rFonts w:ascii="Century Schoolbook" w:eastAsia="Century Schoolbook" w:hAnsi="Century Schoolbook" w:cs="Century Schoolbook"/>
          <w:sz w:val="22"/>
          <w:szCs w:val="22"/>
        </w:rPr>
      </w:pPr>
    </w:p>
    <w:p w14:paraId="7D00EC90" w14:textId="77777777" w:rsidR="005A2EC6" w:rsidRDefault="00905084">
      <w:pPr>
        <w:numPr>
          <w:ilvl w:val="0"/>
          <w:numId w:val="2"/>
        </w:numPr>
        <w:spacing w:after="200"/>
        <w:jc w:val="both"/>
        <w:rPr>
          <w:rFonts w:ascii="Century Schoolbook" w:eastAsia="Century Schoolbook" w:hAnsi="Century Schoolbook" w:cs="Century Schoolbook"/>
          <w:b/>
          <w:i/>
          <w:sz w:val="22"/>
          <w:szCs w:val="22"/>
        </w:rPr>
      </w:pPr>
      <w:r>
        <w:rPr>
          <w:rFonts w:ascii="Century Schoolbook" w:eastAsia="Century Schoolbook" w:hAnsi="Century Schoolbook" w:cs="Century Schoolbook"/>
          <w:b/>
          <w:i/>
          <w:sz w:val="22"/>
          <w:szCs w:val="22"/>
        </w:rPr>
        <w:t>Indicazione e stima degli oneri informativi e dei relativi costi amministrativi, introdotti o eliminati a carico di cittadini e imprese. Per onere informativo si intende qualunque tipologia di adempimento comportante raccolta, elaborazione, trasmissione, conservazione e produzione di informazioni, comunicazioni e documenti alla pubblica amministrazione</w:t>
      </w:r>
    </w:p>
    <w:p w14:paraId="27804BB9" w14:textId="77777777" w:rsidR="005A2EC6" w:rsidRDefault="00905084">
      <w:pPr>
        <w:spacing w:before="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L’intervento regolatorio non comporta riduzione di oneri informativi o costi a carico dei cittadini o delle imprese. </w:t>
      </w:r>
    </w:p>
    <w:p w14:paraId="7FE5B1F9" w14:textId="77777777" w:rsidR="005A2EC6" w:rsidRDefault="00905084">
      <w:pPr>
        <w:spacing w:after="200"/>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29E99F62" w14:textId="77777777" w:rsidR="005A2EC6" w:rsidRDefault="00905084">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6</w:t>
      </w:r>
    </w:p>
    <w:p w14:paraId="02944B3F" w14:textId="77777777" w:rsidR="005A2EC6" w:rsidRDefault="00905084">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 xml:space="preserve">Incidenza sul corretto funzionamento concorrenziale del mercato e sulla competitività regionale, nonché sulle politiche giovanili </w:t>
      </w:r>
    </w:p>
    <w:p w14:paraId="0E175ECC" w14:textId="77777777" w:rsidR="005A2EC6" w:rsidRDefault="00905084">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319C6059" w14:textId="77777777" w:rsidR="005A2EC6" w:rsidRDefault="00905084">
      <w:p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L’opzione prescelta non incide sul corretto funzionamento del mercato e sulla competitività regionale. Non sono ravvisabili particolari effetti sulle politiche giovanili della Regione.</w:t>
      </w:r>
    </w:p>
    <w:p w14:paraId="57291591" w14:textId="77777777" w:rsidR="005A2EC6" w:rsidRDefault="00905084">
      <w:pPr>
        <w:spacing w:after="240"/>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5E2D3058" w14:textId="77777777" w:rsidR="005A2EC6" w:rsidRDefault="00905084">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7</w:t>
      </w:r>
    </w:p>
    <w:p w14:paraId="06A4838D" w14:textId="77777777" w:rsidR="005A2EC6" w:rsidRDefault="00905084">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sz w:val="22"/>
          <w:szCs w:val="22"/>
        </w:rPr>
        <w:t>Modalità attuative dell’intervento di regolamentazione</w:t>
      </w:r>
      <w:r>
        <w:rPr>
          <w:rFonts w:ascii="Century Schoolbook" w:eastAsia="Century Schoolbook" w:hAnsi="Century Schoolbook" w:cs="Century Schoolbook"/>
          <w:b/>
        </w:rPr>
        <w:t xml:space="preserve"> </w:t>
      </w:r>
    </w:p>
    <w:p w14:paraId="70577B0E" w14:textId="77777777" w:rsidR="005A2EC6" w:rsidRDefault="00905084">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6718C92F" w14:textId="77777777" w:rsidR="005A2EC6" w:rsidRDefault="00905084">
      <w:pPr>
        <w:numPr>
          <w:ilvl w:val="0"/>
          <w:numId w:val="5"/>
        </w:numPr>
        <w:pBdr>
          <w:top w:val="nil"/>
          <w:left w:val="nil"/>
          <w:bottom w:val="nil"/>
          <w:right w:val="nil"/>
          <w:between w:val="nil"/>
        </w:pBdr>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Soggetti responsabili dell’attuazione dell’intervento regolatorio</w:t>
      </w:r>
    </w:p>
    <w:p w14:paraId="3CEB0F14" w14:textId="77777777" w:rsidR="005A2EC6" w:rsidRDefault="00905084">
      <w:pPr>
        <w:spacing w:before="24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Sono responsabili dell’attuazione delle disposizioni la Regione (Giunta regionale strutture amministrative competenti), con particolare riguardo alla eventuale sottoscrizione di protocolli d’intesa con le Prefetture e i rappresentanti del Corpo nazionale dei Vigili del Fuoco, tesi a regolamentare nel dettaglio quanto previsto dall’intervento normativo.</w:t>
      </w:r>
    </w:p>
    <w:p w14:paraId="20AE4789" w14:textId="77777777" w:rsidR="005A2EC6" w:rsidRDefault="005A2EC6">
      <w:pPr>
        <w:jc w:val="both"/>
        <w:rPr>
          <w:rFonts w:ascii="Century Schoolbook" w:eastAsia="Century Schoolbook" w:hAnsi="Century Schoolbook" w:cs="Century Schoolbook"/>
          <w:sz w:val="22"/>
          <w:szCs w:val="22"/>
        </w:rPr>
      </w:pPr>
    </w:p>
    <w:p w14:paraId="58FB215E" w14:textId="77777777" w:rsidR="005A2EC6" w:rsidRDefault="00905084">
      <w:pPr>
        <w:numPr>
          <w:ilvl w:val="0"/>
          <w:numId w:val="5"/>
        </w:numPr>
        <w:pBdr>
          <w:top w:val="nil"/>
          <w:left w:val="nil"/>
          <w:bottom w:val="nil"/>
          <w:right w:val="nil"/>
          <w:between w:val="nil"/>
        </w:pBdr>
        <w:spacing w:after="200"/>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sz w:val="22"/>
          <w:szCs w:val="22"/>
        </w:rPr>
        <w:t>Azioni per la pubblicità e per l’informazione dell’intervento</w:t>
      </w:r>
    </w:p>
    <w:p w14:paraId="353C01BE" w14:textId="77777777" w:rsidR="005A2EC6" w:rsidRDefault="00905084">
      <w:pPr>
        <w:pBdr>
          <w:top w:val="nil"/>
          <w:left w:val="nil"/>
          <w:bottom w:val="nil"/>
          <w:right w:val="nil"/>
          <w:between w:val="nil"/>
        </w:pBdr>
        <w:spacing w:after="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Oltre alla consueta pubblicazione sul Bollettino Ufficiale della Regione, e anche in considerazione delle azioni già svolte per analoghe iniziative, si prevede che saranno effettuate alcune attività di comunicazione tese a dare ampia diffusione ai contenuti dell’intervento normativo, tra cui, a titolo esemplificativo:</w:t>
      </w:r>
    </w:p>
    <w:p w14:paraId="5A1BB3C2" w14:textId="77777777" w:rsidR="005A2EC6" w:rsidRDefault="00905084">
      <w:pPr>
        <w:numPr>
          <w:ilvl w:val="0"/>
          <w:numId w:val="6"/>
        </w:numPr>
        <w:pBdr>
          <w:top w:val="nil"/>
          <w:left w:val="nil"/>
          <w:bottom w:val="nil"/>
          <w:right w:val="nil"/>
          <w:between w:val="nil"/>
        </w:pBdr>
        <w:ind w:left="283" w:hanging="283"/>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lastRenderedPageBreak/>
        <w:t>annunci a bordo e nelle stazioni del TPL;</w:t>
      </w:r>
    </w:p>
    <w:p w14:paraId="73CBFC3B" w14:textId="77777777" w:rsidR="005A2EC6" w:rsidRDefault="00905084">
      <w:pPr>
        <w:numPr>
          <w:ilvl w:val="0"/>
          <w:numId w:val="6"/>
        </w:numPr>
        <w:pBdr>
          <w:top w:val="nil"/>
          <w:left w:val="nil"/>
          <w:bottom w:val="nil"/>
          <w:right w:val="nil"/>
          <w:between w:val="nil"/>
        </w:pBdr>
        <w:ind w:left="283" w:hanging="283"/>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comunicazioni attraverso i media;</w:t>
      </w:r>
    </w:p>
    <w:p w14:paraId="73984CB4" w14:textId="77777777" w:rsidR="005A2EC6" w:rsidRDefault="00905084" w:rsidP="00992B8B">
      <w:pPr>
        <w:numPr>
          <w:ilvl w:val="0"/>
          <w:numId w:val="6"/>
        </w:numPr>
        <w:pBdr>
          <w:top w:val="nil"/>
          <w:left w:val="nil"/>
          <w:bottom w:val="nil"/>
          <w:right w:val="nil"/>
          <w:between w:val="nil"/>
        </w:pBdr>
        <w:ind w:left="283" w:hanging="283"/>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pubblicizzazione sui siti internet istituzionali e sui canali informativi aziendali.</w:t>
      </w:r>
    </w:p>
    <w:p w14:paraId="34C39D89" w14:textId="77777777" w:rsidR="005A2EC6" w:rsidRDefault="005A2EC6">
      <w:pPr>
        <w:pBdr>
          <w:top w:val="nil"/>
          <w:left w:val="nil"/>
          <w:bottom w:val="nil"/>
          <w:right w:val="nil"/>
          <w:between w:val="nil"/>
        </w:pBdr>
        <w:jc w:val="both"/>
        <w:rPr>
          <w:rFonts w:ascii="Century Schoolbook" w:eastAsia="Century Schoolbook" w:hAnsi="Century Schoolbook" w:cs="Century Schoolbook"/>
          <w:sz w:val="22"/>
          <w:szCs w:val="22"/>
        </w:rPr>
      </w:pPr>
    </w:p>
    <w:p w14:paraId="4F7F6C42" w14:textId="77777777" w:rsidR="005A2EC6" w:rsidRDefault="00905084">
      <w:pPr>
        <w:numPr>
          <w:ilvl w:val="0"/>
          <w:numId w:val="5"/>
        </w:numPr>
        <w:pBdr>
          <w:top w:val="nil"/>
          <w:left w:val="nil"/>
          <w:bottom w:val="nil"/>
          <w:right w:val="nil"/>
          <w:between w:val="nil"/>
        </w:pBdr>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Strumenti e modalità per il controllo e il monitoraggio dell’intervento regolatorio</w:t>
      </w:r>
    </w:p>
    <w:p w14:paraId="6668F17F" w14:textId="77777777" w:rsidR="005A2EC6" w:rsidRDefault="00905084">
      <w:pPr>
        <w:spacing w:before="24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Il controllo e il monitoraggio dell’intervento regolatorio saranno svolti nell’ambito delle azioni già effettuate in relazione ad analoghe iniziative, mediante l’elaborazione di report e indagini sulla presenza sugli interventi effettuati dagli appartenenti al Corpo dei VV.FF.</w:t>
      </w:r>
    </w:p>
    <w:p w14:paraId="630586F3" w14:textId="77777777" w:rsidR="005A2EC6" w:rsidRDefault="005A2EC6">
      <w:pPr>
        <w:jc w:val="both"/>
        <w:rPr>
          <w:rFonts w:ascii="Century Schoolbook" w:eastAsia="Century Schoolbook" w:hAnsi="Century Schoolbook" w:cs="Century Schoolbook"/>
          <w:sz w:val="22"/>
          <w:szCs w:val="22"/>
        </w:rPr>
      </w:pPr>
    </w:p>
    <w:p w14:paraId="6617151B" w14:textId="77777777" w:rsidR="005A2EC6" w:rsidRDefault="00905084">
      <w:pPr>
        <w:numPr>
          <w:ilvl w:val="0"/>
          <w:numId w:val="5"/>
        </w:numPr>
        <w:pBdr>
          <w:top w:val="nil"/>
          <w:left w:val="nil"/>
          <w:bottom w:val="nil"/>
          <w:right w:val="nil"/>
          <w:between w:val="nil"/>
        </w:pBdr>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Meccanismi previsti per la revisione dell’intervento regolatorio</w:t>
      </w:r>
    </w:p>
    <w:p w14:paraId="1E919E2D" w14:textId="77777777" w:rsidR="005A2EC6" w:rsidRDefault="00905084">
      <w:pPr>
        <w:spacing w:before="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Non sono contemplati specifici meccanismi di revisione dell’articolato. Gli interventi che si dovessero rendere necessari per integrare l’impianto normativo potranno essere realizzati attraverso successive modificazioni normative o, nei casi in cui è previsto, attraverso provvedimenti di dettaglio demandati alla Giunta regionale.</w:t>
      </w:r>
    </w:p>
    <w:p w14:paraId="536DF75E" w14:textId="77777777" w:rsidR="005A2EC6" w:rsidRDefault="00905084">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3CB7B4E1" w14:textId="77777777" w:rsidR="005A2EC6" w:rsidRDefault="00905084">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8</w:t>
      </w:r>
    </w:p>
    <w:p w14:paraId="6EA2EC82" w14:textId="77777777" w:rsidR="005A2EC6" w:rsidRDefault="00905084">
      <w:pPr>
        <w:spacing w:line="276" w:lineRule="auto"/>
        <w:jc w:val="both"/>
        <w:rPr>
          <w:rFonts w:ascii="Century Schoolbook" w:eastAsia="Century Schoolbook" w:hAnsi="Century Schoolbook" w:cs="Century Schoolbook"/>
          <w:b/>
          <w:sz w:val="22"/>
          <w:szCs w:val="22"/>
        </w:rPr>
      </w:pPr>
      <w:r>
        <w:rPr>
          <w:rFonts w:ascii="Century Schoolbook" w:eastAsia="Century Schoolbook" w:hAnsi="Century Schoolbook" w:cs="Century Schoolbook"/>
          <w:b/>
          <w:sz w:val="22"/>
          <w:szCs w:val="22"/>
        </w:rPr>
        <w:t>Rispetto dei livelli minimi di regolazione europea</w:t>
      </w:r>
    </w:p>
    <w:p w14:paraId="7B583015" w14:textId="77777777" w:rsidR="005A2EC6" w:rsidRDefault="00905084">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01399563" w14:textId="77777777" w:rsidR="005A2EC6" w:rsidRDefault="00905084">
      <w:p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L’intervento regolatorio rispetta i livelli minimi di regolazione europea, non introducendo requisiti tecnici, obblighi e oneri di portata superiore rispetto a quanto già previsto.</w:t>
      </w:r>
    </w:p>
    <w:sectPr w:rsidR="005A2EC6">
      <w:headerReference w:type="default" r:id="rId8"/>
      <w:footerReference w:type="default" r:id="rId9"/>
      <w:headerReference w:type="first" r:id="rId10"/>
      <w:pgSz w:w="11906" w:h="16838"/>
      <w:pgMar w:top="1417" w:right="1134" w:bottom="1134" w:left="1134"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F79212" w14:textId="77777777" w:rsidR="00913411" w:rsidRDefault="00913411">
      <w:r>
        <w:separator/>
      </w:r>
    </w:p>
  </w:endnote>
  <w:endnote w:type="continuationSeparator" w:id="0">
    <w:p w14:paraId="4C640596" w14:textId="77777777" w:rsidR="00913411" w:rsidRDefault="00913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roman"/>
    <w:notTrueType/>
    <w:pitch w:val="default"/>
  </w:font>
  <w:font w:name="Georgia">
    <w:panose1 w:val="02040502050405020303"/>
    <w:charset w:val="00"/>
    <w:family w:val="auto"/>
    <w:pitch w:val="default"/>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9D249" w14:textId="77777777" w:rsidR="005A2EC6" w:rsidRDefault="00905084">
    <w:pPr>
      <w:pBdr>
        <w:top w:val="nil"/>
        <w:left w:val="nil"/>
        <w:bottom w:val="nil"/>
        <w:right w:val="nil"/>
        <w:between w:val="nil"/>
      </w:pBdr>
      <w:tabs>
        <w:tab w:val="center" w:pos="4819"/>
        <w:tab w:val="right" w:pos="9638"/>
      </w:tabs>
      <w:jc w:val="right"/>
      <w:rPr>
        <w:rFonts w:ascii="Century Schoolbook" w:eastAsia="Century Schoolbook" w:hAnsi="Century Schoolbook" w:cs="Century Schoolbook"/>
        <w:color w:val="000000"/>
        <w:sz w:val="22"/>
        <w:szCs w:val="22"/>
      </w:rPr>
    </w:pPr>
    <w:r>
      <w:rPr>
        <w:rFonts w:ascii="Century Schoolbook" w:eastAsia="Century Schoolbook" w:hAnsi="Century Schoolbook" w:cs="Century Schoolbook"/>
        <w:color w:val="000000"/>
        <w:sz w:val="22"/>
        <w:szCs w:val="22"/>
      </w:rPr>
      <w:fldChar w:fldCharType="begin"/>
    </w:r>
    <w:r>
      <w:rPr>
        <w:rFonts w:ascii="Century Schoolbook" w:eastAsia="Century Schoolbook" w:hAnsi="Century Schoolbook" w:cs="Century Schoolbook"/>
        <w:color w:val="000000"/>
        <w:sz w:val="22"/>
        <w:szCs w:val="22"/>
      </w:rPr>
      <w:instrText>PAGE</w:instrText>
    </w:r>
    <w:r>
      <w:rPr>
        <w:rFonts w:ascii="Century Schoolbook" w:eastAsia="Century Schoolbook" w:hAnsi="Century Schoolbook" w:cs="Century Schoolbook"/>
        <w:color w:val="000000"/>
        <w:sz w:val="22"/>
        <w:szCs w:val="22"/>
      </w:rPr>
      <w:fldChar w:fldCharType="separate"/>
    </w:r>
    <w:r w:rsidR="00992B8B">
      <w:rPr>
        <w:rFonts w:ascii="Century Schoolbook" w:eastAsia="Century Schoolbook" w:hAnsi="Century Schoolbook" w:cs="Century Schoolbook"/>
        <w:noProof/>
        <w:color w:val="000000"/>
        <w:sz w:val="22"/>
        <w:szCs w:val="22"/>
      </w:rPr>
      <w:t>7</w:t>
    </w:r>
    <w:r>
      <w:rPr>
        <w:rFonts w:ascii="Century Schoolbook" w:eastAsia="Century Schoolbook" w:hAnsi="Century Schoolbook" w:cs="Century Schoolbook"/>
        <w:color w:val="000000"/>
        <w:sz w:val="22"/>
        <w:szCs w:val="22"/>
      </w:rPr>
      <w:fldChar w:fldCharType="end"/>
    </w:r>
  </w:p>
  <w:p w14:paraId="0934F9EA" w14:textId="77777777" w:rsidR="005A2EC6" w:rsidRDefault="005A2EC6">
    <w:pPr>
      <w:pBdr>
        <w:top w:val="nil"/>
        <w:left w:val="nil"/>
        <w:bottom w:val="nil"/>
        <w:right w:val="nil"/>
        <w:between w:val="nil"/>
      </w:pBdr>
      <w:tabs>
        <w:tab w:val="center" w:pos="4819"/>
        <w:tab w:val="right" w:pos="9638"/>
      </w:tabs>
      <w:rPr>
        <w:rFonts w:ascii="Century Schoolbook" w:eastAsia="Century Schoolbook" w:hAnsi="Century Schoolbook" w:cs="Century Schoolbook"/>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D79FCF" w14:textId="77777777" w:rsidR="00913411" w:rsidRDefault="00913411">
      <w:r>
        <w:separator/>
      </w:r>
    </w:p>
  </w:footnote>
  <w:footnote w:type="continuationSeparator" w:id="0">
    <w:p w14:paraId="25071680" w14:textId="77777777" w:rsidR="00913411" w:rsidRDefault="009134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E77097" w14:textId="77777777" w:rsidR="005A2EC6" w:rsidRDefault="00905084">
    <w:pPr>
      <w:tabs>
        <w:tab w:val="left" w:pos="6490"/>
      </w:tabs>
      <w:rPr>
        <w:sz w:val="23"/>
        <w:szCs w:val="23"/>
      </w:rPr>
    </w:pPr>
    <w:r>
      <w:rPr>
        <w:i/>
        <w:noProof/>
        <w:color w:val="000000"/>
      </w:rPr>
      <w:drawing>
        <wp:anchor distT="0" distB="0" distL="114300" distR="114300" simplePos="0" relativeHeight="251658240" behindDoc="0" locked="0" layoutInCell="1" hidden="0" allowOverlap="1" wp14:anchorId="1E7D9591" wp14:editId="52DF9718">
          <wp:simplePos x="0" y="0"/>
          <wp:positionH relativeFrom="margin">
            <wp:align>center</wp:align>
          </wp:positionH>
          <wp:positionV relativeFrom="page">
            <wp:posOffset>448944</wp:posOffset>
          </wp:positionV>
          <wp:extent cx="3002400" cy="1720800"/>
          <wp:effectExtent l="0" t="0" r="0" b="0"/>
          <wp:wrapNone/>
          <wp:docPr id="15" name="image1.png" descr="Post di Facebook 940x788 px (2)"/>
          <wp:cNvGraphicFramePr/>
          <a:graphic xmlns:a="http://schemas.openxmlformats.org/drawingml/2006/main">
            <a:graphicData uri="http://schemas.openxmlformats.org/drawingml/2006/picture">
              <pic:pic xmlns:pic="http://schemas.openxmlformats.org/drawingml/2006/picture">
                <pic:nvPicPr>
                  <pic:cNvPr id="0" name="image1.png" descr="Post di Facebook 940x788 px (2)"/>
                  <pic:cNvPicPr preferRelativeResize="0"/>
                </pic:nvPicPr>
                <pic:blipFill>
                  <a:blip r:embed="rId1"/>
                  <a:srcRect/>
                  <a:stretch>
                    <a:fillRect/>
                  </a:stretch>
                </pic:blipFill>
                <pic:spPr>
                  <a:xfrm>
                    <a:off x="0" y="0"/>
                    <a:ext cx="3002400" cy="1720800"/>
                  </a:xfrm>
                  <a:prstGeom prst="rect">
                    <a:avLst/>
                  </a:prstGeom>
                  <a:ln/>
                </pic:spPr>
              </pic:pic>
            </a:graphicData>
          </a:graphic>
        </wp:anchor>
      </w:drawing>
    </w:r>
    <w:r>
      <w:rPr>
        <w:sz w:val="23"/>
        <w:szCs w:val="23"/>
      </w:rPr>
      <w:tab/>
    </w:r>
  </w:p>
  <w:p w14:paraId="3DD6FFC3" w14:textId="77777777" w:rsidR="005A2EC6" w:rsidRDefault="005A2EC6">
    <w:pPr>
      <w:tabs>
        <w:tab w:val="left" w:pos="6490"/>
      </w:tabs>
      <w:rPr>
        <w:sz w:val="23"/>
        <w:szCs w:val="23"/>
      </w:rPr>
    </w:pPr>
  </w:p>
  <w:p w14:paraId="7C1EAA70" w14:textId="77777777" w:rsidR="005A2EC6" w:rsidRDefault="005A2EC6">
    <w:pPr>
      <w:tabs>
        <w:tab w:val="left" w:pos="6490"/>
      </w:tabs>
      <w:rPr>
        <w:sz w:val="23"/>
        <w:szCs w:val="23"/>
      </w:rPr>
    </w:pPr>
  </w:p>
  <w:p w14:paraId="3F7D7948" w14:textId="77777777" w:rsidR="005A2EC6" w:rsidRDefault="005A2EC6">
    <w:pPr>
      <w:tabs>
        <w:tab w:val="left" w:pos="6490"/>
      </w:tabs>
      <w:rPr>
        <w:sz w:val="23"/>
        <w:szCs w:val="23"/>
      </w:rPr>
    </w:pPr>
  </w:p>
  <w:p w14:paraId="4BA29CE4" w14:textId="77777777" w:rsidR="005A2EC6" w:rsidRDefault="005A2EC6">
    <w:pPr>
      <w:tabs>
        <w:tab w:val="left" w:pos="6490"/>
      </w:tabs>
      <w:rPr>
        <w:sz w:val="23"/>
        <w:szCs w:val="23"/>
      </w:rPr>
    </w:pPr>
  </w:p>
  <w:p w14:paraId="3869B996" w14:textId="77777777" w:rsidR="005A2EC6" w:rsidRDefault="005A2EC6">
    <w:pPr>
      <w:tabs>
        <w:tab w:val="left" w:pos="6490"/>
      </w:tabs>
      <w:rPr>
        <w:sz w:val="23"/>
        <w:szCs w:val="23"/>
      </w:rPr>
    </w:pPr>
  </w:p>
  <w:p w14:paraId="4B017267" w14:textId="77777777" w:rsidR="005A2EC6" w:rsidRDefault="005A2EC6">
    <w:pPr>
      <w:tabs>
        <w:tab w:val="left" w:pos="6490"/>
      </w:tabs>
      <w:rPr>
        <w:sz w:val="23"/>
        <w:szCs w:val="23"/>
      </w:rPr>
    </w:pPr>
  </w:p>
  <w:p w14:paraId="118EBB21" w14:textId="77777777" w:rsidR="005A2EC6" w:rsidRDefault="005A2EC6">
    <w:pPr>
      <w:tabs>
        <w:tab w:val="left" w:pos="6490"/>
      </w:tabs>
      <w:rPr>
        <w:sz w:val="23"/>
        <w:szCs w:val="23"/>
      </w:rPr>
    </w:pPr>
  </w:p>
  <w:p w14:paraId="2BAD8F12" w14:textId="77777777" w:rsidR="005A2EC6" w:rsidRDefault="005A2EC6">
    <w:pPr>
      <w:jc w:val="center"/>
      <w:rPr>
        <w:sz w:val="23"/>
        <w:szCs w:val="23"/>
      </w:rPr>
    </w:pPr>
  </w:p>
  <w:p w14:paraId="3C567437" w14:textId="77777777" w:rsidR="005A2EC6" w:rsidRDefault="005A2EC6">
    <w:pPr>
      <w:jc w:val="center"/>
      <w:rPr>
        <w:sz w:val="23"/>
        <w:szCs w:val="23"/>
      </w:rPr>
    </w:pPr>
  </w:p>
  <w:p w14:paraId="5BB5312E" w14:textId="77777777" w:rsidR="005A2EC6" w:rsidRDefault="005A2EC6">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1571B5" w14:textId="77777777" w:rsidR="005A2EC6" w:rsidRDefault="005A2EC6">
    <w:pPr>
      <w:pBdr>
        <w:top w:val="nil"/>
        <w:left w:val="nil"/>
        <w:bottom w:val="nil"/>
        <w:right w:val="nil"/>
        <w:between w:val="nil"/>
      </w:pBdr>
      <w:tabs>
        <w:tab w:val="center" w:pos="4819"/>
        <w:tab w:val="right" w:pos="9638"/>
      </w:tabs>
      <w:jc w:val="center"/>
      <w:rPr>
        <w:color w:val="000000"/>
      </w:rPr>
    </w:pPr>
  </w:p>
  <w:p w14:paraId="07B7E9D3" w14:textId="77777777" w:rsidR="005A2EC6" w:rsidRDefault="005A2EC6">
    <w:pPr>
      <w:pBdr>
        <w:top w:val="nil"/>
        <w:left w:val="nil"/>
        <w:bottom w:val="nil"/>
        <w:right w:val="nil"/>
        <w:between w:val="nil"/>
      </w:pBdr>
      <w:tabs>
        <w:tab w:val="center" w:pos="4819"/>
        <w:tab w:val="right" w:pos="9638"/>
      </w:tabs>
      <w:jc w:val="center"/>
      <w:rPr>
        <w:color w:val="000000"/>
      </w:rPr>
    </w:pPr>
  </w:p>
  <w:p w14:paraId="3591F88D" w14:textId="77777777" w:rsidR="005A2EC6" w:rsidRDefault="005A2EC6">
    <w:pPr>
      <w:pBdr>
        <w:top w:val="nil"/>
        <w:left w:val="nil"/>
        <w:bottom w:val="nil"/>
        <w:right w:val="nil"/>
        <w:between w:val="nil"/>
      </w:pBdr>
      <w:tabs>
        <w:tab w:val="center" w:pos="4819"/>
        <w:tab w:val="right" w:pos="9638"/>
      </w:tabs>
      <w:jc w:val="center"/>
      <w:rPr>
        <w:color w:val="000000"/>
      </w:rPr>
    </w:pPr>
  </w:p>
  <w:p w14:paraId="3BF91C34" w14:textId="77777777" w:rsidR="005A2EC6" w:rsidRDefault="005A2EC6">
    <w:pPr>
      <w:pBdr>
        <w:top w:val="nil"/>
        <w:left w:val="nil"/>
        <w:bottom w:val="nil"/>
        <w:right w:val="nil"/>
        <w:between w:val="nil"/>
      </w:pBdr>
      <w:tabs>
        <w:tab w:val="center" w:pos="4819"/>
        <w:tab w:val="right" w:pos="9638"/>
      </w:tabs>
      <w:jc w:val="center"/>
      <w:rPr>
        <w:color w:val="000000"/>
      </w:rPr>
    </w:pPr>
  </w:p>
  <w:p w14:paraId="5EBBCEB4" w14:textId="77777777" w:rsidR="005A2EC6" w:rsidRDefault="005A2EC6">
    <w:pPr>
      <w:pBdr>
        <w:top w:val="nil"/>
        <w:left w:val="nil"/>
        <w:bottom w:val="nil"/>
        <w:right w:val="nil"/>
        <w:between w:val="nil"/>
      </w:pBdr>
      <w:tabs>
        <w:tab w:val="center" w:pos="4819"/>
        <w:tab w:val="right" w:pos="9638"/>
      </w:tabs>
      <w:jc w:val="center"/>
      <w:rPr>
        <w:color w:val="000000"/>
      </w:rPr>
    </w:pPr>
  </w:p>
  <w:p w14:paraId="65F5CB18" w14:textId="77777777" w:rsidR="005A2EC6" w:rsidRDefault="005A2EC6">
    <w:pPr>
      <w:pBdr>
        <w:top w:val="nil"/>
        <w:left w:val="nil"/>
        <w:bottom w:val="nil"/>
        <w:right w:val="nil"/>
        <w:between w:val="nil"/>
      </w:pBdr>
      <w:tabs>
        <w:tab w:val="center" w:pos="4819"/>
        <w:tab w:val="right" w:pos="9638"/>
      </w:tabs>
      <w:jc w:val="center"/>
      <w:rPr>
        <w:color w:val="000000"/>
      </w:rPr>
    </w:pPr>
  </w:p>
  <w:p w14:paraId="217D53A7" w14:textId="77777777" w:rsidR="005A2EC6" w:rsidRDefault="005A2EC6">
    <w:pPr>
      <w:pBdr>
        <w:top w:val="nil"/>
        <w:left w:val="nil"/>
        <w:bottom w:val="nil"/>
        <w:right w:val="nil"/>
        <w:between w:val="nil"/>
      </w:pBdr>
      <w:tabs>
        <w:tab w:val="center" w:pos="4819"/>
        <w:tab w:val="right" w:pos="9638"/>
      </w:tabs>
      <w:jc w:val="center"/>
      <w:rPr>
        <w:color w:val="000000"/>
      </w:rPr>
    </w:pPr>
  </w:p>
  <w:p w14:paraId="5FFEF1C7" w14:textId="77777777" w:rsidR="005A2EC6" w:rsidRDefault="005A2EC6">
    <w:pPr>
      <w:pBdr>
        <w:top w:val="nil"/>
        <w:left w:val="nil"/>
        <w:bottom w:val="nil"/>
        <w:right w:val="nil"/>
        <w:between w:val="nil"/>
      </w:pBdr>
      <w:tabs>
        <w:tab w:val="center" w:pos="4819"/>
        <w:tab w:val="right" w:pos="9638"/>
      </w:tabs>
      <w:jc w:val="center"/>
      <w:rPr>
        <w:color w:val="000000"/>
      </w:rPr>
    </w:pPr>
  </w:p>
  <w:p w14:paraId="528E3D67" w14:textId="77777777" w:rsidR="005A2EC6" w:rsidRDefault="005A2EC6">
    <w:pPr>
      <w:pBdr>
        <w:top w:val="nil"/>
        <w:left w:val="nil"/>
        <w:bottom w:val="nil"/>
        <w:right w:val="nil"/>
        <w:between w:val="nil"/>
      </w:pBdr>
      <w:tabs>
        <w:tab w:val="center" w:pos="4819"/>
        <w:tab w:val="right" w:pos="9638"/>
      </w:tabs>
      <w:jc w:val="center"/>
      <w:rPr>
        <w:color w:val="000000"/>
      </w:rPr>
    </w:pPr>
  </w:p>
  <w:p w14:paraId="35D677A7" w14:textId="77777777" w:rsidR="005A2EC6" w:rsidRDefault="00905084">
    <w:pPr>
      <w:pBdr>
        <w:top w:val="nil"/>
        <w:left w:val="nil"/>
        <w:bottom w:val="nil"/>
        <w:right w:val="nil"/>
        <w:between w:val="nil"/>
      </w:pBdr>
      <w:tabs>
        <w:tab w:val="center" w:pos="4819"/>
        <w:tab w:val="right" w:pos="9638"/>
      </w:tabs>
      <w:jc w:val="center"/>
      <w:rPr>
        <w:color w:val="000000"/>
      </w:rPr>
    </w:pPr>
    <w:r>
      <w:rPr>
        <w:i/>
        <w:noProof/>
        <w:color w:val="000000"/>
      </w:rPr>
      <w:drawing>
        <wp:anchor distT="0" distB="0" distL="114300" distR="114300" simplePos="0" relativeHeight="251659264" behindDoc="0" locked="0" layoutInCell="1" hidden="0" allowOverlap="1" wp14:anchorId="66B44F21" wp14:editId="2E4C95E8">
          <wp:simplePos x="0" y="0"/>
          <wp:positionH relativeFrom="margin">
            <wp:align>center</wp:align>
          </wp:positionH>
          <wp:positionV relativeFrom="page">
            <wp:posOffset>448310</wp:posOffset>
          </wp:positionV>
          <wp:extent cx="3002400" cy="1720800"/>
          <wp:effectExtent l="0" t="0" r="0" b="0"/>
          <wp:wrapNone/>
          <wp:docPr id="14" name="image1.png" descr="Post di Facebook 940x788 px (2)"/>
          <wp:cNvGraphicFramePr/>
          <a:graphic xmlns:a="http://schemas.openxmlformats.org/drawingml/2006/main">
            <a:graphicData uri="http://schemas.openxmlformats.org/drawingml/2006/picture">
              <pic:pic xmlns:pic="http://schemas.openxmlformats.org/drawingml/2006/picture">
                <pic:nvPicPr>
                  <pic:cNvPr id="0" name="image1.png" descr="Post di Facebook 940x788 px (2)"/>
                  <pic:cNvPicPr preferRelativeResize="0"/>
                </pic:nvPicPr>
                <pic:blipFill>
                  <a:blip r:embed="rId1"/>
                  <a:srcRect/>
                  <a:stretch>
                    <a:fillRect/>
                  </a:stretch>
                </pic:blipFill>
                <pic:spPr>
                  <a:xfrm>
                    <a:off x="0" y="0"/>
                    <a:ext cx="3002400" cy="17208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F1935"/>
    <w:multiLevelType w:val="multilevel"/>
    <w:tmpl w:val="7444F7D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B6B28C9"/>
    <w:multiLevelType w:val="multilevel"/>
    <w:tmpl w:val="D1FA0E5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7CE64D5"/>
    <w:multiLevelType w:val="multilevel"/>
    <w:tmpl w:val="017065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A403BA0"/>
    <w:multiLevelType w:val="multilevel"/>
    <w:tmpl w:val="584A9CF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2CE74DDA"/>
    <w:multiLevelType w:val="multilevel"/>
    <w:tmpl w:val="C3285B7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408B591F"/>
    <w:multiLevelType w:val="multilevel"/>
    <w:tmpl w:val="9CD64C1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524F74A2"/>
    <w:multiLevelType w:val="multilevel"/>
    <w:tmpl w:val="581229C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79465282"/>
    <w:multiLevelType w:val="multilevel"/>
    <w:tmpl w:val="17E2A5B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0"/>
  </w:num>
  <w:num w:numId="2">
    <w:abstractNumId w:val="6"/>
  </w:num>
  <w:num w:numId="3">
    <w:abstractNumId w:val="3"/>
  </w:num>
  <w:num w:numId="4">
    <w:abstractNumId w:val="2"/>
  </w:num>
  <w:num w:numId="5">
    <w:abstractNumId w:val="4"/>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EC6"/>
    <w:rsid w:val="005A2EC6"/>
    <w:rsid w:val="00905084"/>
    <w:rsid w:val="00913411"/>
    <w:rsid w:val="00992B8B"/>
    <w:rsid w:val="00FB258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A0BA7"/>
  <w15:docId w15:val="{6A51ABB7-2BDE-433E-9568-761CA0141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92B6D"/>
  </w:style>
  <w:style w:type="paragraph" w:styleId="Titolo1">
    <w:name w:val="heading 1"/>
    <w:basedOn w:val="Normale"/>
    <w:link w:val="Titolo1Carattere"/>
    <w:uiPriority w:val="9"/>
    <w:qFormat/>
    <w:rsid w:val="00E94C63"/>
    <w:pPr>
      <w:keepNext/>
      <w:jc w:val="center"/>
      <w:outlineLvl w:val="0"/>
    </w:pPr>
    <w:rPr>
      <w:i/>
      <w:iCs/>
      <w:kern w:val="36"/>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rPr>
  </w:style>
  <w:style w:type="paragraph" w:styleId="Titolo5">
    <w:name w:val="heading 5"/>
    <w:basedOn w:val="Normale"/>
    <w:next w:val="Normale"/>
    <w:pPr>
      <w:keepNext/>
      <w:keepLines/>
      <w:spacing w:before="220" w:after="40"/>
      <w:outlineLvl w:val="4"/>
    </w:pPr>
    <w:rPr>
      <w:b/>
      <w:sz w:val="22"/>
      <w:szCs w:val="22"/>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character" w:customStyle="1" w:styleId="Titolo1Carattere">
    <w:name w:val="Titolo 1 Carattere"/>
    <w:basedOn w:val="Carpredefinitoparagrafo"/>
    <w:link w:val="Titolo1"/>
    <w:uiPriority w:val="9"/>
    <w:rsid w:val="00E94C63"/>
    <w:rPr>
      <w:rFonts w:ascii="Times New Roman" w:hAnsi="Times New Roman" w:cs="Times New Roman"/>
      <w:i/>
      <w:iCs/>
      <w:kern w:val="36"/>
      <w:sz w:val="24"/>
      <w:szCs w:val="24"/>
      <w:lang w:eastAsia="it-IT"/>
    </w:rPr>
  </w:style>
  <w:style w:type="paragraph" w:styleId="NormaleWeb">
    <w:name w:val="Normal (Web)"/>
    <w:basedOn w:val="Normale"/>
    <w:uiPriority w:val="99"/>
    <w:semiHidden/>
    <w:unhideWhenUsed/>
    <w:rsid w:val="00E94C63"/>
    <w:pPr>
      <w:spacing w:before="100" w:beforeAutospacing="1" w:after="100" w:afterAutospacing="1"/>
    </w:pPr>
  </w:style>
  <w:style w:type="character" w:customStyle="1" w:styleId="apple-converted-space">
    <w:name w:val="apple-converted-space"/>
    <w:basedOn w:val="Carpredefinitoparagrafo"/>
    <w:rsid w:val="00E94C63"/>
  </w:style>
  <w:style w:type="character" w:styleId="Enfasigrassetto">
    <w:name w:val="Strong"/>
    <w:basedOn w:val="Carpredefinitoparagrafo"/>
    <w:uiPriority w:val="22"/>
    <w:qFormat/>
    <w:rsid w:val="00E94C63"/>
    <w:rPr>
      <w:b/>
      <w:bCs/>
    </w:rPr>
  </w:style>
  <w:style w:type="paragraph" w:styleId="Testofumetto">
    <w:name w:val="Balloon Text"/>
    <w:basedOn w:val="Normale"/>
    <w:link w:val="TestofumettoCarattere"/>
    <w:uiPriority w:val="99"/>
    <w:semiHidden/>
    <w:unhideWhenUsed/>
    <w:rsid w:val="00BD079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D0792"/>
    <w:rPr>
      <w:rFonts w:ascii="Segoe UI" w:hAnsi="Segoe UI" w:cs="Segoe UI"/>
      <w:sz w:val="18"/>
      <w:szCs w:val="18"/>
      <w:lang w:eastAsia="it-IT"/>
    </w:rPr>
  </w:style>
  <w:style w:type="paragraph" w:styleId="Intestazione">
    <w:name w:val="header"/>
    <w:basedOn w:val="Normale"/>
    <w:link w:val="IntestazioneCarattere"/>
    <w:uiPriority w:val="99"/>
    <w:unhideWhenUsed/>
    <w:rsid w:val="00800A33"/>
    <w:pPr>
      <w:tabs>
        <w:tab w:val="center" w:pos="4819"/>
        <w:tab w:val="right" w:pos="9638"/>
      </w:tabs>
    </w:pPr>
  </w:style>
  <w:style w:type="character" w:customStyle="1" w:styleId="IntestazioneCarattere">
    <w:name w:val="Intestazione Carattere"/>
    <w:basedOn w:val="Carpredefinitoparagrafo"/>
    <w:link w:val="Intestazione"/>
    <w:uiPriority w:val="99"/>
    <w:rsid w:val="00800A33"/>
    <w:rPr>
      <w:rFonts w:ascii="Times New Roman" w:hAnsi="Times New Roman" w:cs="Times New Roman"/>
      <w:sz w:val="24"/>
      <w:szCs w:val="24"/>
      <w:lang w:eastAsia="it-IT"/>
    </w:rPr>
  </w:style>
  <w:style w:type="paragraph" w:styleId="Pidipagina">
    <w:name w:val="footer"/>
    <w:basedOn w:val="Normale"/>
    <w:link w:val="PidipaginaCarattere"/>
    <w:uiPriority w:val="99"/>
    <w:unhideWhenUsed/>
    <w:rsid w:val="00800A33"/>
    <w:pPr>
      <w:tabs>
        <w:tab w:val="center" w:pos="4819"/>
        <w:tab w:val="right" w:pos="9638"/>
      </w:tabs>
    </w:pPr>
  </w:style>
  <w:style w:type="character" w:customStyle="1" w:styleId="PidipaginaCarattere">
    <w:name w:val="Piè di pagina Carattere"/>
    <w:basedOn w:val="Carpredefinitoparagrafo"/>
    <w:link w:val="Pidipagina"/>
    <w:uiPriority w:val="99"/>
    <w:rsid w:val="00800A33"/>
    <w:rPr>
      <w:rFonts w:ascii="Times New Roman" w:hAnsi="Times New Roman" w:cs="Times New Roman"/>
      <w:sz w:val="24"/>
      <w:szCs w:val="24"/>
      <w:lang w:eastAsia="it-IT"/>
    </w:rPr>
  </w:style>
  <w:style w:type="table" w:styleId="Grigliatabella">
    <w:name w:val="Table Grid"/>
    <w:basedOn w:val="Tabellanormale"/>
    <w:uiPriority w:val="39"/>
    <w:rsid w:val="000C2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3B6B81"/>
    <w:pPr>
      <w:ind w:left="720"/>
      <w:contextualSpacing/>
    </w:pPr>
  </w:style>
  <w:style w:type="character" w:customStyle="1" w:styleId="MSGENFONTSTYLENAMETEMPLATEROLENUMBERMSGENFONTSTYLENAMEBYROLETEXT2">
    <w:name w:val="MSG_EN_FONT_STYLE_NAME_TEMPLATE_ROLE_NUMBER MSG_EN_FONT_STYLE_NAME_BY_ROLE_TEXT 2_"/>
    <w:basedOn w:val="Carpredefinitoparagrafo"/>
    <w:rsid w:val="00DD09D8"/>
    <w:rPr>
      <w:b w:val="0"/>
      <w:bCs w:val="0"/>
      <w:i w:val="0"/>
      <w:iCs w:val="0"/>
      <w:smallCaps w:val="0"/>
      <w:strike w:val="0"/>
      <w:u w:val="none"/>
    </w:rPr>
  </w:style>
  <w:style w:type="character" w:customStyle="1" w:styleId="MSGENFONTSTYLENAMETEMPLATEROLENUMBERMSGENFONTSTYLENAMEBYROLETEXT20">
    <w:name w:val="MSG_EN_FONT_STYLE_NAME_TEMPLATE_ROLE_NUMBER MSG_EN_FONT_STYLE_NAME_BY_ROLE_TEXT 2"/>
    <w:basedOn w:val="MSGENFONTSTYLENAMETEMPLATEROLENUMBERMSGENFONTSTYLENAMEBYROLETEXT2"/>
    <w:rsid w:val="00DD09D8"/>
    <w:rPr>
      <w:rFonts w:ascii="Times New Roman" w:eastAsia="Times New Roman" w:hAnsi="Times New Roman" w:cs="Times New Roman"/>
      <w:b w:val="0"/>
      <w:bCs w:val="0"/>
      <w:i w:val="0"/>
      <w:iCs w:val="0"/>
      <w:smallCaps w:val="0"/>
      <w:strike w:val="0"/>
      <w:color w:val="1C1C1C"/>
      <w:spacing w:val="0"/>
      <w:w w:val="100"/>
      <w:position w:val="0"/>
      <w:sz w:val="24"/>
      <w:szCs w:val="24"/>
      <w:u w:val="none"/>
      <w:lang w:val="it-IT" w:eastAsia="it-IT" w:bidi="it-IT"/>
    </w:rPr>
  </w:style>
  <w:style w:type="paragraph" w:styleId="Sottotitolo">
    <w:name w:val="Subtitle"/>
    <w:basedOn w:val="Normale"/>
    <w:next w:val="Normal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RGKrpF2cX5dDb/6gqP4lnHk9oSw==">AMUW2mWaVs8dvEz9jrhQAIyYG838Lib7F5DZ+ki+B5PyQ2xvmhRf4zhNrvsKPbr5Fi5yeMXFsdrSHl4lYX/8ablnZ8jcSb1M+q8F/NvioppIOciWZy+ac9o=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1954</Words>
  <Characters>11142</Characters>
  <Application>Microsoft Office Word</Application>
  <DocSecurity>0</DocSecurity>
  <Lines>92</Lines>
  <Paragraphs>26</Paragraphs>
  <ScaleCrop>false</ScaleCrop>
  <Company>HP Inc.</Company>
  <LinksUpToDate>false</LinksUpToDate>
  <CharactersWithSpaces>13070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Mocerino Carmine Staff</dc:creator>
  <cp:lastModifiedBy>Michele Cammarano</cp:lastModifiedBy>
  <cp:revision>2</cp:revision>
  <dcterms:created xsi:type="dcterms:W3CDTF">2022-06-15T09:29:00Z</dcterms:created>
  <dcterms:modified xsi:type="dcterms:W3CDTF">2022-06-15T09:29:00Z</dcterms:modified>
</cp:coreProperties>
</file>