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1D6A8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XI LEGISLATURA</w:t>
      </w: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</w:p>
    <w:p w:rsidR="005846D1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1D6A8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ESERCIZIO DELLE ATTIVITA’ ENOTURISTICHE</w:t>
      </w: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1D6A8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SUL TERRITORIO</w:t>
      </w: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1D6A8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DELLA REGIONE CAMPANIA</w:t>
      </w:r>
    </w:p>
    <w:p w:rsidR="005846D1" w:rsidRDefault="005846D1" w:rsidP="005846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5846D1" w:rsidRDefault="005846D1"/>
    <w:p w:rsidR="005846D1" w:rsidRPr="005846D1" w:rsidRDefault="005846D1" w:rsidP="005846D1">
      <w:pPr>
        <w:jc w:val="center"/>
        <w:rPr>
          <w:b/>
          <w:sz w:val="24"/>
          <w:szCs w:val="24"/>
        </w:rPr>
      </w:pPr>
      <w:r w:rsidRPr="005846D1">
        <w:rPr>
          <w:b/>
          <w:sz w:val="24"/>
          <w:szCs w:val="24"/>
        </w:rPr>
        <w:t>Relazione illustrativa</w:t>
      </w:r>
    </w:p>
    <w:p w:rsidR="005846D1" w:rsidRDefault="005846D1"/>
    <w:p w:rsidR="005846D1" w:rsidRPr="000608D5" w:rsidRDefault="005846D1" w:rsidP="000608D5">
      <w:pPr>
        <w:spacing w:line="276" w:lineRule="auto"/>
        <w:jc w:val="both"/>
        <w:rPr>
          <w:sz w:val="24"/>
          <w:szCs w:val="24"/>
        </w:rPr>
      </w:pPr>
      <w:bookmarkStart w:id="0" w:name="_GoBack"/>
      <w:r w:rsidRPr="000608D5">
        <w:rPr>
          <w:sz w:val="24"/>
          <w:szCs w:val="24"/>
        </w:rPr>
        <w:t>La proposta muove principalmente dall’esigenza di fornire agli operatori del settore vitivinicolo uno strumento legislati</w:t>
      </w:r>
      <w:r w:rsidRPr="000608D5">
        <w:rPr>
          <w:sz w:val="24"/>
          <w:szCs w:val="24"/>
        </w:rPr>
        <w:t xml:space="preserve">vo innovativo che consenta </w:t>
      </w:r>
      <w:r w:rsidRPr="000608D5">
        <w:rPr>
          <w:sz w:val="24"/>
          <w:szCs w:val="24"/>
        </w:rPr>
        <w:t xml:space="preserve">di implementare un’attività </w:t>
      </w:r>
      <w:r w:rsidRPr="000608D5">
        <w:rPr>
          <w:sz w:val="24"/>
          <w:szCs w:val="24"/>
        </w:rPr>
        <w:t>che si pone l’obiettivo della</w:t>
      </w:r>
      <w:r w:rsidRPr="000608D5">
        <w:rPr>
          <w:sz w:val="24"/>
          <w:szCs w:val="24"/>
        </w:rPr>
        <w:t xml:space="preserve"> valorizzazione dei</w:t>
      </w:r>
      <w:r w:rsidRPr="000608D5">
        <w:rPr>
          <w:sz w:val="24"/>
          <w:szCs w:val="24"/>
        </w:rPr>
        <w:t xml:space="preserve"> territori, delle produzioni attraverso la creazione di</w:t>
      </w:r>
      <w:r w:rsidRPr="000608D5">
        <w:rPr>
          <w:sz w:val="24"/>
          <w:szCs w:val="24"/>
        </w:rPr>
        <w:t xml:space="preserve"> un sistema di accoglienza che coniuga la cultura del vino con la sua area di produzione</w:t>
      </w:r>
      <w:r w:rsidRPr="000608D5">
        <w:rPr>
          <w:sz w:val="24"/>
          <w:szCs w:val="24"/>
        </w:rPr>
        <w:t>.</w:t>
      </w:r>
    </w:p>
    <w:p w:rsidR="005846D1" w:rsidRPr="000608D5" w:rsidRDefault="005846D1" w:rsidP="000608D5">
      <w:pPr>
        <w:spacing w:line="276" w:lineRule="auto"/>
        <w:jc w:val="both"/>
        <w:rPr>
          <w:sz w:val="24"/>
          <w:szCs w:val="24"/>
        </w:rPr>
      </w:pPr>
      <w:r w:rsidRPr="000608D5">
        <w:rPr>
          <w:sz w:val="24"/>
          <w:szCs w:val="24"/>
        </w:rPr>
        <w:t xml:space="preserve">La Campania è un territorio molto interessante dal punto di vista vitivinicolo. Le attività enoturistiche rappresentano perciò la possibilità di amplificare </w:t>
      </w:r>
      <w:r w:rsidRPr="000608D5">
        <w:rPr>
          <w:sz w:val="24"/>
          <w:szCs w:val="24"/>
        </w:rPr>
        <w:t>le caratteristiche di eccellenza dei prodotti, della cultura dei produt</w:t>
      </w:r>
      <w:r w:rsidRPr="000608D5">
        <w:rPr>
          <w:sz w:val="24"/>
          <w:szCs w:val="24"/>
        </w:rPr>
        <w:t>tori e dei territori di origine.</w:t>
      </w:r>
    </w:p>
    <w:p w:rsidR="005846D1" w:rsidRPr="000608D5" w:rsidRDefault="005846D1" w:rsidP="000608D5">
      <w:pPr>
        <w:spacing w:line="276" w:lineRule="auto"/>
        <w:jc w:val="both"/>
        <w:rPr>
          <w:sz w:val="24"/>
          <w:szCs w:val="24"/>
        </w:rPr>
      </w:pPr>
      <w:r w:rsidRPr="000608D5">
        <w:rPr>
          <w:sz w:val="24"/>
          <w:szCs w:val="24"/>
        </w:rPr>
        <w:t xml:space="preserve">La proposta di legge si prefigge di rendere, pertanto, il settore vitivinicolo sempre più protagonista muovendosi nel solco della programmazione integrata tra i settori dell’agricoltura, del turismo e del commercio. </w:t>
      </w:r>
    </w:p>
    <w:p w:rsidR="005846D1" w:rsidRPr="000608D5" w:rsidRDefault="005846D1" w:rsidP="000608D5">
      <w:pPr>
        <w:spacing w:line="276" w:lineRule="auto"/>
        <w:jc w:val="both"/>
        <w:rPr>
          <w:sz w:val="24"/>
          <w:szCs w:val="24"/>
        </w:rPr>
      </w:pPr>
      <w:r w:rsidRPr="000608D5">
        <w:rPr>
          <w:sz w:val="24"/>
          <w:szCs w:val="24"/>
        </w:rPr>
        <w:t xml:space="preserve">La legge consentirà di definire itinerari enoturistici che mettano in rete anche tutte le eccellenze naturalistiche, culturali, artigianali e industriali dell’intero territorio regionale e attivare azioni di comunicazione efficace per la promozione e la conoscenza di tali realtà in Italia e all’estero, valorizzando </w:t>
      </w:r>
      <w:r w:rsidRPr="000608D5">
        <w:rPr>
          <w:sz w:val="24"/>
          <w:szCs w:val="24"/>
        </w:rPr>
        <w:t xml:space="preserve">le aree interne, che in Campania sono particolarmente vocate alla vitivinicoltura </w:t>
      </w:r>
      <w:r w:rsidRPr="000608D5">
        <w:rPr>
          <w:sz w:val="24"/>
          <w:szCs w:val="24"/>
        </w:rPr>
        <w:t xml:space="preserve">e favorendo infine la destagionalizzazione dei flussi turistici. </w:t>
      </w:r>
    </w:p>
    <w:p w:rsidR="0096550E" w:rsidRPr="000608D5" w:rsidRDefault="005846D1" w:rsidP="000608D5">
      <w:pPr>
        <w:spacing w:line="276" w:lineRule="auto"/>
        <w:jc w:val="both"/>
        <w:rPr>
          <w:sz w:val="24"/>
          <w:szCs w:val="24"/>
        </w:rPr>
      </w:pPr>
      <w:r w:rsidRPr="000608D5">
        <w:rPr>
          <w:sz w:val="24"/>
          <w:szCs w:val="24"/>
        </w:rPr>
        <w:t xml:space="preserve">L’articolo 1 individua l’oggetto e le finalità dell’attività di enoturismo indicando le norme nazionali da cui scaturisce e le finalità generali della proposta di legge con riferimento agli obiettivi di valorizzazione e tutela delle aree a vocazione vitivinicola, le loro peculiari produzioni, la qualificazione dell’accoglienza in una logica di promozione e integrazione tra i possibili “turismi” e l’incremento dei redditi delle imprese del settore. L’articolo 2 definisce e descrive le attività da considerare enoturistiche, secondo quanto stabilito dalla normativa nazionale e tenendo conto delle esigenze regionali. L’articolo 3 individua le tipologie di soggetti che possono </w:t>
      </w:r>
      <w:r w:rsidRPr="000608D5">
        <w:rPr>
          <w:sz w:val="24"/>
          <w:szCs w:val="24"/>
        </w:rPr>
        <w:t xml:space="preserve">essere operatori enoturistici. </w:t>
      </w:r>
      <w:r w:rsidRPr="000608D5">
        <w:rPr>
          <w:sz w:val="24"/>
          <w:szCs w:val="24"/>
        </w:rPr>
        <w:t>L’articolo 4 elenca i requisiti e standard minimi di qualità nel rispetto delle indicazioni stabilite dalla normativa nazionale. 2 L’articolo 5 prevede la promozione della formazione, la riqualificazione e l’aggiornamento professionale degli operatori enoturistici o dei loro collaboratori. L’articolo 6 disciplina l’attività di degustazione anc</w:t>
      </w:r>
      <w:r w:rsidRPr="000608D5">
        <w:rPr>
          <w:sz w:val="24"/>
          <w:szCs w:val="24"/>
        </w:rPr>
        <w:t xml:space="preserve">he in abbinamento con alimenti. </w:t>
      </w:r>
      <w:r w:rsidRPr="000608D5">
        <w:rPr>
          <w:sz w:val="24"/>
          <w:szCs w:val="24"/>
        </w:rPr>
        <w:t xml:space="preserve">L’articolo 7 prevede l’attuazione sinergica della legge da parte delle strutture competenti in materia di </w:t>
      </w:r>
      <w:r w:rsidRPr="000608D5">
        <w:rPr>
          <w:sz w:val="24"/>
          <w:szCs w:val="24"/>
        </w:rPr>
        <w:lastRenderedPageBreak/>
        <w:t>agricoltura, commercio e turismo. L’articolo 8 individua lo strumento della segnalazione certificata di inizio attività (SCIA) quale presupposto per lo svolgime</w:t>
      </w:r>
      <w:r w:rsidRPr="000608D5">
        <w:rPr>
          <w:sz w:val="24"/>
          <w:szCs w:val="24"/>
        </w:rPr>
        <w:t xml:space="preserve">nto dell’attività enoturistica.  L’articolo 9 istituisce l’elenco regionale degli operatori enoturistici. </w:t>
      </w:r>
      <w:r w:rsidRPr="000608D5">
        <w:rPr>
          <w:sz w:val="24"/>
          <w:szCs w:val="24"/>
        </w:rPr>
        <w:t xml:space="preserve">L’articolo 10 </w:t>
      </w:r>
      <w:r w:rsidRPr="000608D5">
        <w:rPr>
          <w:sz w:val="24"/>
          <w:szCs w:val="24"/>
        </w:rPr>
        <w:t xml:space="preserve">istituisce l’osservatorio regionale sull’enoturismo in Campania. L’articolo 11 </w:t>
      </w:r>
      <w:r w:rsidRPr="000608D5">
        <w:rPr>
          <w:sz w:val="24"/>
          <w:szCs w:val="24"/>
        </w:rPr>
        <w:t>individua l’ente competente alla effettuazione dell’attività di vigilanza e control</w:t>
      </w:r>
      <w:r w:rsidRPr="000608D5">
        <w:rPr>
          <w:sz w:val="24"/>
          <w:szCs w:val="24"/>
        </w:rPr>
        <w:t xml:space="preserve">lo. L’articolo 12 </w:t>
      </w:r>
      <w:r w:rsidRPr="000608D5">
        <w:rPr>
          <w:sz w:val="24"/>
          <w:szCs w:val="24"/>
        </w:rPr>
        <w:t>elenca le violazioni e le relative sanzioni da applicare e l’ente responsabile della l</w:t>
      </w:r>
      <w:r w:rsidRPr="000608D5">
        <w:rPr>
          <w:sz w:val="24"/>
          <w:szCs w:val="24"/>
        </w:rPr>
        <w:t xml:space="preserve">oro applicazione. L’articolo </w:t>
      </w:r>
      <w:proofErr w:type="gramStart"/>
      <w:r w:rsidRPr="000608D5">
        <w:rPr>
          <w:sz w:val="24"/>
          <w:szCs w:val="24"/>
        </w:rPr>
        <w:t>1</w:t>
      </w:r>
      <w:r w:rsidR="000608D5" w:rsidRPr="000608D5">
        <w:rPr>
          <w:sz w:val="24"/>
          <w:szCs w:val="24"/>
        </w:rPr>
        <w:t>3</w:t>
      </w:r>
      <w:r w:rsidRPr="000608D5">
        <w:rPr>
          <w:sz w:val="24"/>
          <w:szCs w:val="24"/>
        </w:rPr>
        <w:t xml:space="preserve"> </w:t>
      </w:r>
      <w:r w:rsidRPr="000608D5">
        <w:rPr>
          <w:sz w:val="24"/>
          <w:szCs w:val="24"/>
        </w:rPr>
        <w:t xml:space="preserve"> in</w:t>
      </w:r>
      <w:proofErr w:type="gramEnd"/>
      <w:r w:rsidRPr="000608D5">
        <w:rPr>
          <w:sz w:val="24"/>
          <w:szCs w:val="24"/>
        </w:rPr>
        <w:t xml:space="preserve"> quali circostanze si procede alla sospensione o alla cessazione dell’attiv</w:t>
      </w:r>
      <w:r w:rsidR="000608D5" w:rsidRPr="000608D5">
        <w:rPr>
          <w:sz w:val="24"/>
          <w:szCs w:val="24"/>
        </w:rPr>
        <w:t xml:space="preserve">ità enoturistica. L’articolo 14 </w:t>
      </w:r>
      <w:r w:rsidRPr="000608D5">
        <w:rPr>
          <w:sz w:val="24"/>
          <w:szCs w:val="24"/>
        </w:rPr>
        <w:t>disciplina le disposizioni transitorie relative alle sole aziende che hanno già pr</w:t>
      </w:r>
      <w:r w:rsidR="000608D5" w:rsidRPr="000608D5">
        <w:rPr>
          <w:sz w:val="24"/>
          <w:szCs w:val="24"/>
        </w:rPr>
        <w:t xml:space="preserve">esentato la SCIA. L’articolo 15 </w:t>
      </w:r>
      <w:r w:rsidRPr="000608D5">
        <w:rPr>
          <w:sz w:val="24"/>
          <w:szCs w:val="24"/>
        </w:rPr>
        <w:t>attesta l’invarianza finanziaria della legge dalla quale non scaturiscono oneri aggiuntivi a carico del b</w:t>
      </w:r>
      <w:r w:rsidR="000608D5" w:rsidRPr="000608D5">
        <w:rPr>
          <w:sz w:val="24"/>
          <w:szCs w:val="24"/>
        </w:rPr>
        <w:t>ilancio regionale. L’articolo 16</w:t>
      </w:r>
      <w:r w:rsidRPr="000608D5">
        <w:rPr>
          <w:sz w:val="24"/>
          <w:szCs w:val="24"/>
        </w:rPr>
        <w:t xml:space="preserve"> rimanda alla normativa nazionale per quanto non regolamentato con la presente legg</w:t>
      </w:r>
      <w:r w:rsidRPr="000608D5">
        <w:rPr>
          <w:sz w:val="24"/>
          <w:szCs w:val="24"/>
        </w:rPr>
        <w:t>e</w:t>
      </w:r>
      <w:bookmarkEnd w:id="0"/>
    </w:p>
    <w:sectPr w:rsidR="0096550E" w:rsidRPr="000608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6D1"/>
    <w:rsid w:val="000608D5"/>
    <w:rsid w:val="005846D1"/>
    <w:rsid w:val="0096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5BCBE"/>
  <w15:chartTrackingRefBased/>
  <w15:docId w15:val="{AA743B08-38ED-48BC-A685-72BD4E18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846D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2022-06-21T10:00:00Z</dcterms:created>
  <dcterms:modified xsi:type="dcterms:W3CDTF">2022-06-21T10:11:00Z</dcterms:modified>
</cp:coreProperties>
</file>