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92E7B" w14:textId="77777777" w:rsidR="00775439" w:rsidRDefault="00775439">
      <w:pPr>
        <w:spacing w:line="360" w:lineRule="auto"/>
        <w:jc w:val="right"/>
        <w:rPr>
          <w:rFonts w:ascii="Century Schoolbook" w:eastAsia="Century Schoolbook" w:hAnsi="Century Schoolbook" w:cs="Century Schoolbook"/>
        </w:rPr>
      </w:pPr>
    </w:p>
    <w:p w14:paraId="6828D084" w14:textId="77777777" w:rsidR="00775439" w:rsidRDefault="00775439">
      <w:pPr>
        <w:spacing w:line="360" w:lineRule="auto"/>
        <w:jc w:val="center"/>
        <w:rPr>
          <w:rFonts w:ascii="Century Schoolbook" w:eastAsia="Century Schoolbook" w:hAnsi="Century Schoolbook" w:cs="Century Schoolbook"/>
          <w:smallCaps/>
        </w:rPr>
      </w:pPr>
    </w:p>
    <w:p w14:paraId="00D43BC3" w14:textId="77777777" w:rsidR="00775439" w:rsidRDefault="00775439">
      <w:pPr>
        <w:spacing w:line="360" w:lineRule="auto"/>
        <w:jc w:val="center"/>
        <w:rPr>
          <w:rFonts w:ascii="Century Schoolbook" w:eastAsia="Century Schoolbook" w:hAnsi="Century Schoolbook" w:cs="Century Schoolbook"/>
          <w:smallCaps/>
        </w:rPr>
      </w:pPr>
    </w:p>
    <w:p w14:paraId="69055937" w14:textId="77777777" w:rsidR="00775439" w:rsidRDefault="00775439">
      <w:pPr>
        <w:spacing w:line="360" w:lineRule="auto"/>
        <w:jc w:val="center"/>
        <w:rPr>
          <w:rFonts w:ascii="Century Schoolbook" w:eastAsia="Century Schoolbook" w:hAnsi="Century Schoolbook" w:cs="Century Schoolbook"/>
          <w:smallCaps/>
        </w:rPr>
      </w:pPr>
    </w:p>
    <w:p w14:paraId="0D3C87B9" w14:textId="77777777" w:rsidR="00775439" w:rsidRDefault="00775439">
      <w:pPr>
        <w:spacing w:line="360" w:lineRule="auto"/>
        <w:jc w:val="center"/>
        <w:rPr>
          <w:rFonts w:ascii="Century Schoolbook" w:eastAsia="Century Schoolbook" w:hAnsi="Century Schoolbook" w:cs="Century Schoolbook"/>
          <w:smallCaps/>
        </w:rPr>
      </w:pPr>
    </w:p>
    <w:p w14:paraId="662F82FF" w14:textId="77777777" w:rsidR="00775439" w:rsidRDefault="00641D97">
      <w:pPr>
        <w:jc w:val="center"/>
        <w:rPr>
          <w:rFonts w:ascii="Century Schoolbook" w:eastAsia="Century Schoolbook" w:hAnsi="Century Schoolbook" w:cs="Century Schoolbook"/>
          <w:smallCaps/>
          <w:sz w:val="28"/>
          <w:szCs w:val="28"/>
        </w:rPr>
      </w:pPr>
      <w:r>
        <w:rPr>
          <w:rFonts w:ascii="Century Schoolbook" w:eastAsia="Century Schoolbook" w:hAnsi="Century Schoolbook" w:cs="Century Schoolbook"/>
          <w:smallCaps/>
          <w:sz w:val="28"/>
          <w:szCs w:val="28"/>
        </w:rPr>
        <w:t>Proposta di legge</w:t>
      </w:r>
    </w:p>
    <w:p w14:paraId="47C152B8" w14:textId="77777777" w:rsidR="00775439" w:rsidRDefault="00775439">
      <w:pPr>
        <w:jc w:val="center"/>
        <w:rPr>
          <w:rFonts w:ascii="Century Schoolbook" w:eastAsia="Century Schoolbook" w:hAnsi="Century Schoolbook" w:cs="Century Schoolbook"/>
          <w:smallCaps/>
          <w:sz w:val="28"/>
          <w:szCs w:val="28"/>
        </w:rPr>
      </w:pPr>
    </w:p>
    <w:p w14:paraId="5E8F2DC4" w14:textId="77777777" w:rsidR="00775439" w:rsidRDefault="00641D97">
      <w:pPr>
        <w:jc w:val="center"/>
        <w:rPr>
          <w:rFonts w:ascii="Century Schoolbook" w:eastAsia="Century Schoolbook" w:hAnsi="Century Schoolbook" w:cs="Century Schoolbook"/>
          <w:sz w:val="28"/>
          <w:szCs w:val="28"/>
        </w:rPr>
      </w:pPr>
      <w:r>
        <w:rPr>
          <w:rFonts w:ascii="Century Schoolbook" w:eastAsia="Century Schoolbook" w:hAnsi="Century Schoolbook" w:cs="Century Schoolbook"/>
          <w:sz w:val="28"/>
          <w:szCs w:val="28"/>
        </w:rPr>
        <w:t>Disposizioni per la redazione del bilancio di genere in Regione Campania</w:t>
      </w:r>
    </w:p>
    <w:p w14:paraId="35DB98A3" w14:textId="77777777" w:rsidR="00775439" w:rsidRDefault="00775439">
      <w:pPr>
        <w:jc w:val="center"/>
        <w:rPr>
          <w:rFonts w:ascii="Century Schoolbook" w:eastAsia="Century Schoolbook" w:hAnsi="Century Schoolbook" w:cs="Century Schoolbook"/>
          <w:sz w:val="28"/>
          <w:szCs w:val="28"/>
        </w:rPr>
      </w:pPr>
    </w:p>
    <w:p w14:paraId="447B764A" w14:textId="77777777" w:rsidR="00775439" w:rsidRDefault="00775439">
      <w:pPr>
        <w:jc w:val="center"/>
        <w:rPr>
          <w:rFonts w:ascii="Century Schoolbook" w:eastAsia="Century Schoolbook" w:hAnsi="Century Schoolbook" w:cs="Century Schoolbook"/>
          <w:sz w:val="28"/>
          <w:szCs w:val="28"/>
        </w:rPr>
      </w:pPr>
    </w:p>
    <w:p w14:paraId="4F75BCE3" w14:textId="77777777" w:rsidR="00775439" w:rsidRDefault="00775439">
      <w:pPr>
        <w:jc w:val="center"/>
        <w:rPr>
          <w:rFonts w:ascii="Century Schoolbook" w:eastAsia="Century Schoolbook" w:hAnsi="Century Schoolbook" w:cs="Century Schoolbook"/>
          <w:sz w:val="28"/>
          <w:szCs w:val="28"/>
        </w:rPr>
      </w:pPr>
    </w:p>
    <w:p w14:paraId="72DC3FA8" w14:textId="77777777" w:rsidR="00775439" w:rsidRDefault="00775439">
      <w:pPr>
        <w:spacing w:line="360" w:lineRule="auto"/>
        <w:jc w:val="center"/>
        <w:rPr>
          <w:rFonts w:ascii="Century Schoolbook" w:eastAsia="Century Schoolbook" w:hAnsi="Century Schoolbook" w:cs="Century Schoolbook"/>
          <w:smallCaps/>
        </w:rPr>
      </w:pPr>
    </w:p>
    <w:p w14:paraId="0682FF27" w14:textId="77777777" w:rsidR="00775439" w:rsidRDefault="00775439">
      <w:pPr>
        <w:spacing w:line="360" w:lineRule="auto"/>
        <w:jc w:val="center"/>
        <w:rPr>
          <w:rFonts w:ascii="Century Schoolbook" w:eastAsia="Century Schoolbook" w:hAnsi="Century Schoolbook" w:cs="Century Schoolbook"/>
          <w:smallCaps/>
        </w:rPr>
      </w:pPr>
    </w:p>
    <w:p w14:paraId="6A833D07" w14:textId="77777777" w:rsidR="00775439" w:rsidRDefault="00775439">
      <w:pPr>
        <w:spacing w:line="360" w:lineRule="auto"/>
        <w:jc w:val="center"/>
        <w:rPr>
          <w:rFonts w:ascii="Century Schoolbook" w:eastAsia="Century Schoolbook" w:hAnsi="Century Schoolbook" w:cs="Century Schoolbook"/>
          <w:smallCaps/>
        </w:rPr>
      </w:pPr>
    </w:p>
    <w:p w14:paraId="47C928C8" w14:textId="77777777" w:rsidR="00775439" w:rsidRDefault="00775439">
      <w:pPr>
        <w:spacing w:line="360" w:lineRule="auto"/>
        <w:jc w:val="center"/>
        <w:rPr>
          <w:rFonts w:ascii="Century Schoolbook" w:eastAsia="Century Schoolbook" w:hAnsi="Century Schoolbook" w:cs="Century Schoolbook"/>
          <w:smallCaps/>
        </w:rPr>
      </w:pPr>
    </w:p>
    <w:p w14:paraId="0B2E686F" w14:textId="77777777" w:rsidR="00775439" w:rsidRDefault="00775439">
      <w:pPr>
        <w:spacing w:line="360" w:lineRule="auto"/>
        <w:jc w:val="center"/>
        <w:rPr>
          <w:rFonts w:ascii="Century Schoolbook" w:eastAsia="Century Schoolbook" w:hAnsi="Century Schoolbook" w:cs="Century Schoolbook"/>
          <w:smallCaps/>
        </w:rPr>
      </w:pPr>
    </w:p>
    <w:p w14:paraId="0E6933C2" w14:textId="77777777" w:rsidR="00775439" w:rsidRDefault="00775439">
      <w:pPr>
        <w:spacing w:line="360" w:lineRule="auto"/>
        <w:jc w:val="center"/>
        <w:rPr>
          <w:rFonts w:ascii="Century Schoolbook" w:eastAsia="Century Schoolbook" w:hAnsi="Century Schoolbook" w:cs="Century Schoolbook"/>
          <w:smallCaps/>
        </w:rPr>
      </w:pPr>
    </w:p>
    <w:p w14:paraId="74F34D40" w14:textId="77777777" w:rsidR="00775439" w:rsidRDefault="00775439">
      <w:pPr>
        <w:spacing w:line="360" w:lineRule="auto"/>
        <w:jc w:val="center"/>
        <w:rPr>
          <w:rFonts w:ascii="Century Schoolbook" w:eastAsia="Century Schoolbook" w:hAnsi="Century Schoolbook" w:cs="Century Schoolbook"/>
          <w:smallCaps/>
        </w:rPr>
      </w:pPr>
    </w:p>
    <w:p w14:paraId="34E77DCC" w14:textId="77777777" w:rsidR="00775439" w:rsidRDefault="00775439">
      <w:pPr>
        <w:spacing w:line="360" w:lineRule="auto"/>
        <w:jc w:val="center"/>
        <w:rPr>
          <w:rFonts w:ascii="Century Schoolbook" w:eastAsia="Century Schoolbook" w:hAnsi="Century Schoolbook" w:cs="Century Schoolbook"/>
          <w:smallCaps/>
        </w:rPr>
      </w:pPr>
    </w:p>
    <w:p w14:paraId="2FD1C42A" w14:textId="77777777" w:rsidR="00775439" w:rsidRDefault="00775439">
      <w:pPr>
        <w:spacing w:line="360" w:lineRule="auto"/>
        <w:jc w:val="center"/>
        <w:rPr>
          <w:rFonts w:ascii="Century Schoolbook" w:eastAsia="Century Schoolbook" w:hAnsi="Century Schoolbook" w:cs="Century Schoolbook"/>
          <w:smallCaps/>
        </w:rPr>
      </w:pPr>
    </w:p>
    <w:p w14:paraId="1D5F5CEC" w14:textId="77777777" w:rsidR="00775439" w:rsidRDefault="00775439">
      <w:pPr>
        <w:spacing w:line="360" w:lineRule="auto"/>
        <w:rPr>
          <w:rFonts w:ascii="Century Schoolbook" w:eastAsia="Century Schoolbook" w:hAnsi="Century Schoolbook" w:cs="Century Schoolbook"/>
          <w:smallCaps/>
        </w:rPr>
      </w:pPr>
    </w:p>
    <w:p w14:paraId="6E7C7F28" w14:textId="77777777" w:rsidR="00775439" w:rsidRDefault="00641D97">
      <w:pPr>
        <w:spacing w:line="360" w:lineRule="auto"/>
        <w:jc w:val="center"/>
        <w:rPr>
          <w:rFonts w:ascii="Century Schoolbook" w:eastAsia="Century Schoolbook" w:hAnsi="Century Schoolbook" w:cs="Century Schoolbook"/>
          <w:smallCaps/>
          <w:sz w:val="22"/>
          <w:szCs w:val="22"/>
        </w:rPr>
      </w:pPr>
      <w:r>
        <w:rPr>
          <w:rFonts w:ascii="Century Schoolbook" w:eastAsia="Century Schoolbook" w:hAnsi="Century Schoolbook" w:cs="Century Schoolbook"/>
          <w:smallCaps/>
          <w:sz w:val="22"/>
          <w:szCs w:val="22"/>
        </w:rPr>
        <w:t>Scheda AIR</w:t>
      </w:r>
    </w:p>
    <w:p w14:paraId="39270EED" w14:textId="77777777" w:rsidR="00775439" w:rsidRDefault="00641D97">
      <w:pPr>
        <w:spacing w:line="360" w:lineRule="auto"/>
        <w:jc w:val="center"/>
        <w:rPr>
          <w:rFonts w:ascii="Century Schoolbook" w:eastAsia="Century Schoolbook" w:hAnsi="Century Schoolbook" w:cs="Century Schoolbook"/>
          <w:smallCaps/>
          <w:sz w:val="22"/>
          <w:szCs w:val="22"/>
        </w:rPr>
      </w:pPr>
      <w:r>
        <w:rPr>
          <w:rFonts w:ascii="Century Schoolbook" w:eastAsia="Century Schoolbook" w:hAnsi="Century Schoolbook" w:cs="Century Schoolbook"/>
          <w:smallCaps/>
          <w:sz w:val="22"/>
          <w:szCs w:val="22"/>
        </w:rPr>
        <w:t>Analisi di Impatto della Regolamentazione</w:t>
      </w:r>
    </w:p>
    <w:p w14:paraId="2A747B6E" w14:textId="77777777" w:rsidR="00775439" w:rsidRDefault="00641D97">
      <w:pPr>
        <w:spacing w:after="160" w:line="259" w:lineRule="auto"/>
        <w:rPr>
          <w:rFonts w:ascii="Century Schoolbook" w:eastAsia="Century Schoolbook" w:hAnsi="Century Schoolbook" w:cs="Century Schoolbook"/>
          <w:smallCaps/>
        </w:rPr>
      </w:pPr>
      <w:r>
        <w:br w:type="page"/>
      </w:r>
    </w:p>
    <w:p w14:paraId="51B002ED" w14:textId="77777777" w:rsidR="00775439" w:rsidRDefault="00641D97">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b/>
        </w:rPr>
        <w:lastRenderedPageBreak/>
        <w:t>SOMMARIO</w:t>
      </w:r>
    </w:p>
    <w:p w14:paraId="686D2160" w14:textId="77777777" w:rsidR="00775439" w:rsidRDefault="00641D97">
      <w:pPr>
        <w:spacing w:before="240"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1 - Contesto e obiettivi dell’intervento di regolamentazione</w:t>
      </w:r>
    </w:p>
    <w:p w14:paraId="3DA65391" w14:textId="77777777" w:rsidR="00775439" w:rsidRDefault="00641D97">
      <w:pPr>
        <w:numPr>
          <w:ilvl w:val="0"/>
          <w:numId w:val="2"/>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La rappresentazione del problema da risolvere e delle criticità constatate, anche con riferimento al contesto internazionale ed europeo, nonché delle esigenze sociali ed economiche consid</w:t>
      </w:r>
      <w:r>
        <w:rPr>
          <w:rFonts w:ascii="Century Schoolbook" w:eastAsia="Century Schoolbook" w:hAnsi="Century Schoolbook" w:cs="Century Schoolbook"/>
          <w:i/>
          <w:color w:val="000000"/>
          <w:sz w:val="22"/>
          <w:szCs w:val="22"/>
        </w:rPr>
        <w:t>erate</w:t>
      </w:r>
    </w:p>
    <w:p w14:paraId="30E0A689" w14:textId="77777777" w:rsidR="00775439" w:rsidRDefault="00641D97">
      <w:pPr>
        <w:numPr>
          <w:ilvl w:val="0"/>
          <w:numId w:val="2"/>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Indicazione degli obiettivi perseguiti con l’intervento normativo</w:t>
      </w:r>
    </w:p>
    <w:p w14:paraId="3561ACD6" w14:textId="77777777" w:rsidR="00775439" w:rsidRDefault="00641D97">
      <w:pPr>
        <w:numPr>
          <w:ilvl w:val="0"/>
          <w:numId w:val="2"/>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Descrizione degli indicatori che consentono di verificare il grado di raggiungimento degli obiettivi indicati e di monitorare l’attuazione dell’intervento nell’ambito della VIR</w:t>
      </w:r>
    </w:p>
    <w:p w14:paraId="7F306A20" w14:textId="77777777" w:rsidR="00775439" w:rsidRDefault="00641D97">
      <w:pPr>
        <w:numPr>
          <w:ilvl w:val="0"/>
          <w:numId w:val="2"/>
        </w:numPr>
        <w:pBdr>
          <w:top w:val="nil"/>
          <w:left w:val="nil"/>
          <w:bottom w:val="nil"/>
          <w:right w:val="nil"/>
          <w:between w:val="nil"/>
        </w:pBdr>
        <w:spacing w:after="240"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Indicazione delle categorie dei soggetti, pubblici e privati, destinatari dei p</w:t>
      </w:r>
      <w:r>
        <w:rPr>
          <w:rFonts w:ascii="Century Schoolbook" w:eastAsia="Century Schoolbook" w:hAnsi="Century Schoolbook" w:cs="Century Schoolbook"/>
          <w:i/>
          <w:color w:val="000000"/>
          <w:sz w:val="22"/>
          <w:szCs w:val="22"/>
        </w:rPr>
        <w:t>rincipali effetti dell’intervento regolatorio</w:t>
      </w:r>
    </w:p>
    <w:p w14:paraId="7F644C66" w14:textId="77777777" w:rsidR="00775439" w:rsidRDefault="00641D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2 - Procedure di consultazione precedenti l’intervento</w:t>
      </w:r>
    </w:p>
    <w:p w14:paraId="45D3F225" w14:textId="77777777" w:rsidR="00775439" w:rsidRDefault="00641D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3 - Valutazione dell’opzione di non intervento di regolamentazione (opzione zero)</w:t>
      </w:r>
    </w:p>
    <w:p w14:paraId="6EFD507A" w14:textId="77777777" w:rsidR="00775439" w:rsidRDefault="00641D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SEZIONE 4 - </w:t>
      </w:r>
      <w:proofErr w:type="gramStart"/>
      <w:r>
        <w:rPr>
          <w:rFonts w:ascii="Century Schoolbook" w:eastAsia="Century Schoolbook" w:hAnsi="Century Schoolbook" w:cs="Century Schoolbook"/>
          <w:sz w:val="22"/>
          <w:szCs w:val="22"/>
        </w:rPr>
        <w:t>Opzioni alternative</w:t>
      </w:r>
      <w:proofErr w:type="gramEnd"/>
      <w:r>
        <w:rPr>
          <w:rFonts w:ascii="Century Schoolbook" w:eastAsia="Century Schoolbook" w:hAnsi="Century Schoolbook" w:cs="Century Schoolbook"/>
          <w:sz w:val="22"/>
          <w:szCs w:val="22"/>
        </w:rPr>
        <w:t xml:space="preserve"> all’intervento regolatori</w:t>
      </w:r>
      <w:r>
        <w:rPr>
          <w:rFonts w:ascii="Century Schoolbook" w:eastAsia="Century Schoolbook" w:hAnsi="Century Schoolbook" w:cs="Century Schoolbook"/>
          <w:sz w:val="22"/>
          <w:szCs w:val="22"/>
        </w:rPr>
        <w:t>o</w:t>
      </w:r>
    </w:p>
    <w:p w14:paraId="07054CC3" w14:textId="77777777" w:rsidR="00775439" w:rsidRDefault="00641D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5 - Giustificazione dell’opzione regolatoria proposta e valutazione degli oneri amministrativi e dell’impatto sulle PMI</w:t>
      </w:r>
    </w:p>
    <w:p w14:paraId="715E92CE" w14:textId="77777777" w:rsidR="00775439" w:rsidRDefault="00641D97">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Svantaggi e vantaggi dell’opzione prescelta per i destinatari diretti e indiretti</w:t>
      </w:r>
    </w:p>
    <w:p w14:paraId="5432CAFE" w14:textId="77777777" w:rsidR="00775439" w:rsidRDefault="00641D97">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Individuazione e stima degli effetti dell’opzione prescelta sulle micro, piccole e medie imprese</w:t>
      </w:r>
    </w:p>
    <w:p w14:paraId="3BA24A51" w14:textId="77777777" w:rsidR="00775439" w:rsidRDefault="00641D97">
      <w:pPr>
        <w:numPr>
          <w:ilvl w:val="0"/>
          <w:numId w:val="7"/>
        </w:numPr>
        <w:pBdr>
          <w:top w:val="nil"/>
          <w:left w:val="nil"/>
          <w:bottom w:val="nil"/>
          <w:right w:val="nil"/>
          <w:between w:val="nil"/>
        </w:pBdr>
        <w:spacing w:after="240" w:line="276" w:lineRule="auto"/>
        <w:jc w:val="both"/>
        <w:rPr>
          <w:rFonts w:ascii="Century Schoolbook" w:eastAsia="Century Schoolbook" w:hAnsi="Century Schoolbook" w:cs="Century Schoolbook"/>
          <w:i/>
          <w:sz w:val="22"/>
          <w:szCs w:val="22"/>
        </w:rPr>
      </w:pPr>
      <w:r>
        <w:rPr>
          <w:rFonts w:ascii="Century Schoolbook" w:eastAsia="Century Schoolbook" w:hAnsi="Century Schoolbook" w:cs="Century Schoolbook"/>
          <w:i/>
          <w:sz w:val="22"/>
          <w:szCs w:val="22"/>
        </w:rPr>
        <w:t>Indicazione e stima degli oneri informativi e dei relativi costi amministrati</w:t>
      </w:r>
      <w:r>
        <w:rPr>
          <w:rFonts w:ascii="Century Schoolbook" w:eastAsia="Century Schoolbook" w:hAnsi="Century Schoolbook" w:cs="Century Schoolbook"/>
          <w:i/>
          <w:sz w:val="22"/>
          <w:szCs w:val="22"/>
        </w:rPr>
        <w:t>vi, introdotti o eliminati a carico di cittadini e imprese. Per onere informativo si intende qualunque tipologia di adempimento comportante raccolta, elaborazione, trasmissione, conservazione e produzione di informazioni, comunicazioni e documenti alla pub</w:t>
      </w:r>
      <w:r>
        <w:rPr>
          <w:rFonts w:ascii="Century Schoolbook" w:eastAsia="Century Schoolbook" w:hAnsi="Century Schoolbook" w:cs="Century Schoolbook"/>
          <w:i/>
          <w:sz w:val="22"/>
          <w:szCs w:val="22"/>
        </w:rPr>
        <w:t>blica amministrazione</w:t>
      </w:r>
    </w:p>
    <w:p w14:paraId="5C09C94F" w14:textId="77777777" w:rsidR="00775439" w:rsidRDefault="00641D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6 - Incidenza sul corretto funzionamento concorrenziale del mercato e sulla competitività regionale, nonché sulle politiche giovanili</w:t>
      </w:r>
    </w:p>
    <w:p w14:paraId="7E7CCB44" w14:textId="77777777" w:rsidR="00775439" w:rsidRDefault="00641D97">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7 - Modalità attuative dell’intervento di regolamentazione</w:t>
      </w:r>
    </w:p>
    <w:p w14:paraId="148EDB4E" w14:textId="77777777" w:rsidR="00775439" w:rsidRDefault="00641D97">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Soggetti responsabili del</w:t>
      </w:r>
      <w:r>
        <w:rPr>
          <w:rFonts w:ascii="Century Schoolbook" w:eastAsia="Century Schoolbook" w:hAnsi="Century Schoolbook" w:cs="Century Schoolbook"/>
          <w:i/>
          <w:color w:val="000000"/>
          <w:sz w:val="22"/>
          <w:szCs w:val="22"/>
        </w:rPr>
        <w:t>l’attuazione dell’intervento regolatorio</w:t>
      </w:r>
    </w:p>
    <w:p w14:paraId="477FEC84" w14:textId="77777777" w:rsidR="00775439" w:rsidRDefault="00641D97">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sz w:val="22"/>
          <w:szCs w:val="22"/>
        </w:rPr>
      </w:pPr>
      <w:r>
        <w:rPr>
          <w:rFonts w:ascii="Century Schoolbook" w:eastAsia="Century Schoolbook" w:hAnsi="Century Schoolbook" w:cs="Century Schoolbook"/>
          <w:i/>
          <w:sz w:val="22"/>
          <w:szCs w:val="22"/>
        </w:rPr>
        <w:t xml:space="preserve">Azioni per la pubblicità e per l’informazione dell’intervento </w:t>
      </w:r>
    </w:p>
    <w:p w14:paraId="11A1721A" w14:textId="77777777" w:rsidR="00775439" w:rsidRDefault="00641D97">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Strumenti e modalità per il controllo e il monitoraggio dell’intervento regolatorio</w:t>
      </w:r>
    </w:p>
    <w:p w14:paraId="79A3035E" w14:textId="77777777" w:rsidR="00775439" w:rsidRDefault="00641D97">
      <w:pPr>
        <w:numPr>
          <w:ilvl w:val="0"/>
          <w:numId w:val="3"/>
        </w:numPr>
        <w:pBdr>
          <w:top w:val="nil"/>
          <w:left w:val="nil"/>
          <w:bottom w:val="nil"/>
          <w:right w:val="nil"/>
          <w:between w:val="nil"/>
        </w:pBdr>
        <w:spacing w:after="240"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Meccanismi previsti per la revisione dell’intervento regolatorio</w:t>
      </w:r>
    </w:p>
    <w:p w14:paraId="7DC528A0" w14:textId="77777777" w:rsidR="00775439" w:rsidRDefault="00641D97">
      <w:pPr>
        <w:spacing w:line="276" w:lineRule="auto"/>
        <w:jc w:val="both"/>
        <w:rPr>
          <w:rFonts w:ascii="Century Schoolbook" w:eastAsia="Century Schoolbook" w:hAnsi="Century Schoolbook" w:cs="Century Schoolbook"/>
          <w:b/>
          <w:sz w:val="22"/>
          <w:szCs w:val="22"/>
        </w:rPr>
      </w:pPr>
      <w:r>
        <w:rPr>
          <w:rFonts w:ascii="Century Schoolbook" w:eastAsia="Century Schoolbook" w:hAnsi="Century Schoolbook" w:cs="Century Schoolbook"/>
          <w:sz w:val="22"/>
          <w:szCs w:val="22"/>
        </w:rPr>
        <w:t>SEZIONE 8 - Rispetto dei livelli minimi di regolazione europea</w:t>
      </w:r>
      <w:r>
        <w:br w:type="page"/>
      </w:r>
    </w:p>
    <w:p w14:paraId="0FB48F85"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lastRenderedPageBreak/>
        <w:t>________________________________________________________________________________</w:t>
      </w:r>
    </w:p>
    <w:p w14:paraId="1CF28B81" w14:textId="77777777" w:rsidR="00775439" w:rsidRDefault="00641D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1</w:t>
      </w:r>
    </w:p>
    <w:p w14:paraId="1FDE9175"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Contesto e obiettivi dell’intervento di regolamentazione</w:t>
      </w:r>
    </w:p>
    <w:p w14:paraId="387EF4D2" w14:textId="77777777" w:rsidR="00775439" w:rsidRDefault="00641D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7982E26B" w14:textId="77777777" w:rsidR="00775439" w:rsidRDefault="00641D97">
      <w:pPr>
        <w:numPr>
          <w:ilvl w:val="0"/>
          <w:numId w:val="4"/>
        </w:numPr>
        <w:pBdr>
          <w:top w:val="nil"/>
          <w:left w:val="nil"/>
          <w:bottom w:val="nil"/>
          <w:right w:val="nil"/>
          <w:between w:val="nil"/>
        </w:pBdr>
        <w:spacing w:after="20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La rappresentazione del problema da risolvere e delle criticità constatate, anche con riferimento al contesto internaz</w:t>
      </w:r>
      <w:r>
        <w:rPr>
          <w:rFonts w:ascii="Century Schoolbook" w:eastAsia="Century Schoolbook" w:hAnsi="Century Schoolbook" w:cs="Century Schoolbook"/>
          <w:b/>
          <w:i/>
          <w:color w:val="000000"/>
          <w:sz w:val="22"/>
          <w:szCs w:val="22"/>
        </w:rPr>
        <w:t>ionale ed europeo, nonché delle esigenze sociali ed economiche considerate</w:t>
      </w:r>
    </w:p>
    <w:p w14:paraId="2D3523AD"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Il bilancio di genere si configura come un sistema di analisi in grado di offrire un quadro di insieme sul diverso impatto delle </w:t>
      </w:r>
      <w:r>
        <w:rPr>
          <w:rFonts w:ascii="Century Schoolbook" w:eastAsia="Century Schoolbook" w:hAnsi="Century Schoolbook" w:cs="Century Schoolbook"/>
          <w:i/>
          <w:sz w:val="22"/>
          <w:szCs w:val="22"/>
        </w:rPr>
        <w:t xml:space="preserve">policy </w:t>
      </w:r>
      <w:r>
        <w:rPr>
          <w:rFonts w:ascii="Century Schoolbook" w:eastAsia="Century Schoolbook" w:hAnsi="Century Schoolbook" w:cs="Century Schoolbook"/>
          <w:sz w:val="22"/>
          <w:szCs w:val="22"/>
        </w:rPr>
        <w:t xml:space="preserve">promosse dall’Ente pubblico di riferimento sulle donne e sugli uomini (soprattutto in termini di denaro, servizi, tempo </w:t>
      </w:r>
      <w:r>
        <w:rPr>
          <w:rFonts w:ascii="Century Schoolbook" w:eastAsia="Century Schoolbook" w:hAnsi="Century Schoolbook" w:cs="Century Schoolbook"/>
          <w:sz w:val="22"/>
          <w:szCs w:val="22"/>
        </w:rPr>
        <w:t>e lavoro non retribuito), al fine di poter migliorare l’impiego delle risorse economiche promuovendo una maggiore equità tra i generi. L’esigenza di sviluppare un simile strumento sorge dalla considerazione che le politiche economiche sono di regola rivolt</w:t>
      </w:r>
      <w:r>
        <w:rPr>
          <w:rFonts w:ascii="Century Schoolbook" w:eastAsia="Century Schoolbook" w:hAnsi="Century Schoolbook" w:cs="Century Schoolbook"/>
          <w:sz w:val="22"/>
          <w:szCs w:val="22"/>
        </w:rPr>
        <w:t>e al “cittadino”, inteso come un soggetto sociale di carattere neutro; invero, i bisogni e le necessità dei cittadini e delle cittadine sono spesso così differenti che, se ignorati dal decisore pubblico, rischiano di tradursi in vere e proprie disuguaglian</w:t>
      </w:r>
      <w:r>
        <w:rPr>
          <w:rFonts w:ascii="Century Schoolbook" w:eastAsia="Century Schoolbook" w:hAnsi="Century Schoolbook" w:cs="Century Schoolbook"/>
          <w:sz w:val="22"/>
          <w:szCs w:val="22"/>
        </w:rPr>
        <w:t>ze.</w:t>
      </w:r>
    </w:p>
    <w:p w14:paraId="6AA6609D"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Il bilancio di genere è stato sperimentato per la prima volta in Australia negli anni ‘80, e da allora il crescente interesse nella comunità internazionale ne ha determinato l’affermazione in numerosi Paesi nel mondo, fino a ottenere un riconoscimento </w:t>
      </w:r>
      <w:r>
        <w:rPr>
          <w:rFonts w:ascii="Century Schoolbook" w:eastAsia="Century Schoolbook" w:hAnsi="Century Schoolbook" w:cs="Century Schoolbook"/>
          <w:sz w:val="22"/>
          <w:szCs w:val="22"/>
        </w:rPr>
        <w:t xml:space="preserve">quale strumento raccomandato agli Stati e agli Enti locali per l’attuazione del principio della parità di genere e del c.d. </w:t>
      </w:r>
      <w:r>
        <w:rPr>
          <w:rFonts w:ascii="Century Schoolbook" w:eastAsia="Century Schoolbook" w:hAnsi="Century Schoolbook" w:cs="Century Schoolbook"/>
          <w:i/>
          <w:sz w:val="22"/>
          <w:szCs w:val="22"/>
        </w:rPr>
        <w:t>gender mainstreaming</w:t>
      </w:r>
      <w:r>
        <w:rPr>
          <w:rFonts w:ascii="Century Schoolbook" w:eastAsia="Century Schoolbook" w:hAnsi="Century Schoolbook" w:cs="Century Schoolbook"/>
          <w:sz w:val="22"/>
          <w:szCs w:val="22"/>
        </w:rPr>
        <w:t>.</w:t>
      </w:r>
    </w:p>
    <w:p w14:paraId="0BD54CCB"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In Italia, un primo riscontro in tale direzione si è realizzato mediante l’adozione della Direttiva del 23 mag</w:t>
      </w:r>
      <w:r>
        <w:rPr>
          <w:rFonts w:ascii="Century Schoolbook" w:eastAsia="Century Schoolbook" w:hAnsi="Century Schoolbook" w:cs="Century Schoolbook"/>
          <w:sz w:val="22"/>
          <w:szCs w:val="22"/>
        </w:rPr>
        <w:t>gio 2007 (Misure per attuare parità e pari opportunità tra uomini e donne nelle amministrazioni pubbliche), emanata dal Ministro per le riforme e le innovazioni nella pubblica amministrazione e dal Ministro per i diritti e le pari opportunità, con cui è st</w:t>
      </w:r>
      <w:r>
        <w:rPr>
          <w:rFonts w:ascii="Century Schoolbook" w:eastAsia="Century Schoolbook" w:hAnsi="Century Schoolbook" w:cs="Century Schoolbook"/>
          <w:sz w:val="22"/>
          <w:szCs w:val="22"/>
        </w:rPr>
        <w:t xml:space="preserve">ato raccomandato alle amministrazioni pubbliche l’utilizzo del bilancio di genere. </w:t>
      </w:r>
    </w:p>
    <w:p w14:paraId="10EFAE7D"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Il bilancio di genere è stato introdotto nel nostro ordinamento dall’articolo 38-septies della legge n. 196 del 2009, con una prima sperimentazione condotta sul Rendiconto </w:t>
      </w:r>
      <w:r>
        <w:rPr>
          <w:rFonts w:ascii="Century Schoolbook" w:eastAsia="Century Schoolbook" w:hAnsi="Century Schoolbook" w:cs="Century Schoolbook"/>
          <w:sz w:val="22"/>
          <w:szCs w:val="22"/>
        </w:rPr>
        <w:t>generale dello Stato per l’esercizio 2016. Sono state inoltre numerose le Regioni che, in periodi diversi, hanno avviato, anche con l’approvazione di specifiche leggi, le attività di redazione del bilancio di genere nell’ambito della propria programmazione</w:t>
      </w:r>
      <w:r>
        <w:rPr>
          <w:rFonts w:ascii="Century Schoolbook" w:eastAsia="Century Schoolbook" w:hAnsi="Century Schoolbook" w:cs="Century Schoolbook"/>
          <w:sz w:val="22"/>
          <w:szCs w:val="22"/>
        </w:rPr>
        <w:t xml:space="preserve"> economica annuale.</w:t>
      </w:r>
    </w:p>
    <w:p w14:paraId="5605A15D"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bilancio di genere è stato in seguito citato dal decreto legislativo n. 150 del 27 ottobre 2009 (c.d. Decreto Brunetta) come uno dei documenti che le amministrazioni devono produrre, entro il 30 giugno di ogni anno, contestualmente a</w:t>
      </w:r>
      <w:r>
        <w:rPr>
          <w:rFonts w:ascii="Century Schoolbook" w:eastAsia="Century Schoolbook" w:hAnsi="Century Schoolbook" w:cs="Century Schoolbook"/>
          <w:sz w:val="22"/>
          <w:szCs w:val="22"/>
        </w:rPr>
        <w:t xml:space="preserve">lla relazione sulla performance, sebbene tale </w:t>
      </w:r>
      <w:r>
        <w:rPr>
          <w:rFonts w:ascii="Century Schoolbook" w:eastAsia="Century Schoolbook" w:hAnsi="Century Schoolbook" w:cs="Century Schoolbook"/>
          <w:sz w:val="22"/>
          <w:szCs w:val="22"/>
        </w:rPr>
        <w:lastRenderedPageBreak/>
        <w:t xml:space="preserve">disposizione, a oltre un decennio dalla sua introduzione, abbia prodotto risultati al di sotto delle attese in termini di analisi e di ricadute effettive sul divario di genere. </w:t>
      </w:r>
    </w:p>
    <w:p w14:paraId="310C5037"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Negli ultimi anni i temi delle p</w:t>
      </w:r>
      <w:r>
        <w:rPr>
          <w:rFonts w:ascii="Century Schoolbook" w:eastAsia="Century Schoolbook" w:hAnsi="Century Schoolbook" w:cs="Century Schoolbook"/>
          <w:sz w:val="22"/>
          <w:szCs w:val="22"/>
        </w:rPr>
        <w:t>arità e le discriminazioni di genere sono tornati a essere al centro dell’agenda politica nazionale ed europea. Non è un caso se il raggiungimento della parità di genere costituisca uno dei 17 Obiettivi per lo Sviluppo Sostenibile dell’Agenda 2030 dell’ONU</w:t>
      </w:r>
      <w:r>
        <w:rPr>
          <w:rFonts w:ascii="Century Schoolbook" w:eastAsia="Century Schoolbook" w:hAnsi="Century Schoolbook" w:cs="Century Schoolbook"/>
          <w:sz w:val="22"/>
          <w:szCs w:val="22"/>
        </w:rPr>
        <w:t>, oltre che una delle tre priorità trasversali in termini di inclusione sociale del Piano Nazionale di Ripresa e Resilienza (PNRR), predisposto dal Governo italiano per accedere ai fondi di Next Generation EU, il programma varato dall’Unione Europea in ris</w:t>
      </w:r>
      <w:r>
        <w:rPr>
          <w:rFonts w:ascii="Century Schoolbook" w:eastAsia="Century Schoolbook" w:hAnsi="Century Schoolbook" w:cs="Century Schoolbook"/>
          <w:sz w:val="22"/>
          <w:szCs w:val="22"/>
        </w:rPr>
        <w:t>posta alla crisi pandemica da Covid-19. Sempre a livello europeo, già con una risoluzione approvata il 15 gennaio 2019, il Parlamento europeo aveva invitato la Commissione e gli Stati membri ad attuare il bilancio di genere, in modo tale da identificare es</w:t>
      </w:r>
      <w:r>
        <w:rPr>
          <w:rFonts w:ascii="Century Schoolbook" w:eastAsia="Century Schoolbook" w:hAnsi="Century Schoolbook" w:cs="Century Schoolbook"/>
          <w:sz w:val="22"/>
          <w:szCs w:val="22"/>
        </w:rPr>
        <w:t>plicitamente la quota di fondi pubblici destinati alle donne e garantire che tutte le politiche per la mobilitazione delle risorse e l’assegnazione della spesa promuovessero l’uguaglianza di genere. Inoltre, la Strategia europea per la parità di genere 202</w:t>
      </w:r>
      <w:r>
        <w:rPr>
          <w:rFonts w:ascii="Century Schoolbook" w:eastAsia="Century Schoolbook" w:hAnsi="Century Schoolbook" w:cs="Century Schoolbook"/>
          <w:sz w:val="22"/>
          <w:szCs w:val="22"/>
        </w:rPr>
        <w:t>0-2025, presentata dalla Commissione UE nel marzo del 2020, aveva delineato un impegno strategico concentrato su cinque aree prioritarie, tre delle quali afferenti ai temi dell’occupazione (aumento della partecipazione delle donne al mercato del lavoro e d</w:t>
      </w:r>
      <w:r>
        <w:rPr>
          <w:rFonts w:ascii="Century Schoolbook" w:eastAsia="Century Schoolbook" w:hAnsi="Century Schoolbook" w:cs="Century Schoolbook"/>
          <w:sz w:val="22"/>
          <w:szCs w:val="22"/>
        </w:rPr>
        <w:t xml:space="preserve">ell’indipendenza economica di donne e uomini; riduzione del divario in materia di retribuzioni, salari e pensioni; promozione della parità tra uomo e donna nel processo decisionale). Di riflesso, la Strategia nazionale per la parità di genere 2021-2026 si </w:t>
      </w:r>
      <w:r>
        <w:rPr>
          <w:rFonts w:ascii="Century Schoolbook" w:eastAsia="Century Schoolbook" w:hAnsi="Century Schoolbook" w:cs="Century Schoolbook"/>
          <w:sz w:val="22"/>
          <w:szCs w:val="22"/>
        </w:rPr>
        <w:t>focalizza su cinque priorità strategiche: lavoro (creare un mondo del lavoro più equo in termini di pari opportunità e di carriera, competitività e flessibilità e sostenere l’incremento dell’occupazione femminile), reddito (ridurre i differenziali retribut</w:t>
      </w:r>
      <w:r>
        <w:rPr>
          <w:rFonts w:ascii="Century Schoolbook" w:eastAsia="Century Schoolbook" w:hAnsi="Century Schoolbook" w:cs="Century Schoolbook"/>
          <w:sz w:val="22"/>
          <w:szCs w:val="22"/>
        </w:rPr>
        <w:t>ivi di genere), competenze, tempo e potere (rappresentanza femminile nelle posizioni di potere e negli organi direzionali di natura politica, economica e sociale). La Strategia prevede anche alcune misure di natura trasversale, tra le quali è richiamato pr</w:t>
      </w:r>
      <w:r>
        <w:rPr>
          <w:rFonts w:ascii="Century Schoolbook" w:eastAsia="Century Schoolbook" w:hAnsi="Century Schoolbook" w:cs="Century Schoolbook"/>
          <w:sz w:val="22"/>
          <w:szCs w:val="22"/>
        </w:rPr>
        <w:t>oprio il bilancio di genere. Tale strumento è stato infatti ulteriormente rafforzato con il decreto legislativo n. 116 del 2018, correttivo al decreto legislativo n. 90 del 2016, relativo al completamento della riforma del bilancio dello Stato. Con success</w:t>
      </w:r>
      <w:r>
        <w:rPr>
          <w:rFonts w:ascii="Century Schoolbook" w:eastAsia="Century Schoolbook" w:hAnsi="Century Schoolbook" w:cs="Century Schoolbook"/>
          <w:sz w:val="22"/>
          <w:szCs w:val="22"/>
        </w:rPr>
        <w:t xml:space="preserve">iva circolare n. 12 del 13 aprile 2021 del Ministero dell’Economia e delle Finanze, sono state dettate istruzioni dettagliate sugli adempimenti da </w:t>
      </w:r>
      <w:proofErr w:type="gramStart"/>
      <w:r>
        <w:rPr>
          <w:rFonts w:ascii="Century Schoolbook" w:eastAsia="Century Schoolbook" w:hAnsi="Century Schoolbook" w:cs="Century Schoolbook"/>
          <w:sz w:val="22"/>
          <w:szCs w:val="22"/>
        </w:rPr>
        <w:t>porre in essere</w:t>
      </w:r>
      <w:proofErr w:type="gramEnd"/>
      <w:r>
        <w:rPr>
          <w:rFonts w:ascii="Century Schoolbook" w:eastAsia="Century Schoolbook" w:hAnsi="Century Schoolbook" w:cs="Century Schoolbook"/>
          <w:sz w:val="22"/>
          <w:szCs w:val="22"/>
        </w:rPr>
        <w:t xml:space="preserve"> da parte delle Amministrazioni centrali, finalizzate alla redazione del bilancio di genere pe</w:t>
      </w:r>
      <w:r>
        <w:rPr>
          <w:rFonts w:ascii="Century Schoolbook" w:eastAsia="Century Schoolbook" w:hAnsi="Century Schoolbook" w:cs="Century Schoolbook"/>
          <w:sz w:val="22"/>
          <w:szCs w:val="22"/>
        </w:rPr>
        <w:t>r il Rendiconto generale dello Stato per l’esercizio 2020, presentato alle Camere il 19 gennaio 2022.</w:t>
      </w:r>
    </w:p>
    <w:p w14:paraId="406E293E"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A livello nazionale, recentemente si è anche intervenuti con la legge n. 162 del 5 novembre 2021 (Modifiche al codice di cui al decreto legislativo 11 apr</w:t>
      </w:r>
      <w:r>
        <w:rPr>
          <w:rFonts w:ascii="Century Schoolbook" w:eastAsia="Century Schoolbook" w:hAnsi="Century Schoolbook" w:cs="Century Schoolbook"/>
          <w:sz w:val="22"/>
          <w:szCs w:val="22"/>
        </w:rPr>
        <w:t>ile 2006, n. 198, e altre disposizioni in materia di pari opportunità tra uomo e donna in ambito lavorativo), attraverso la quale sono state introdotte alcune significative modifiche al Codice delle pari opportunità, tra cui: l’introduzione del concetto di</w:t>
      </w:r>
      <w:r>
        <w:rPr>
          <w:rFonts w:ascii="Century Schoolbook" w:eastAsia="Century Schoolbook" w:hAnsi="Century Schoolbook" w:cs="Century Schoolbook"/>
          <w:sz w:val="22"/>
          <w:szCs w:val="22"/>
        </w:rPr>
        <w:t xml:space="preserve"> discriminazione diretta e indiretta, l’estensione dell’obbligo per le aziende pubbliche e private con oltre 50 dipendenti (in precedenza erano 100) di redigere un rapporto biennale sulla situazione del personale maschile e femminile, l’istituzione della </w:t>
      </w:r>
      <w:r>
        <w:rPr>
          <w:rFonts w:ascii="Century Schoolbook" w:eastAsia="Century Schoolbook" w:hAnsi="Century Schoolbook" w:cs="Century Schoolbook"/>
          <w:sz w:val="22"/>
          <w:szCs w:val="22"/>
        </w:rPr>
        <w:lastRenderedPageBreak/>
        <w:t>c</w:t>
      </w:r>
      <w:r>
        <w:rPr>
          <w:rFonts w:ascii="Century Schoolbook" w:eastAsia="Century Schoolbook" w:hAnsi="Century Schoolbook" w:cs="Century Schoolbook"/>
          <w:sz w:val="22"/>
          <w:szCs w:val="22"/>
        </w:rPr>
        <w:t>ertificazione della parità di genere per le aziende e l’introduzione di un meccanismo di premialità di parità. Presso il Senato della Repubblica risulta poi depositato un disegno di legge (Atto Senato n. 1539), recante disposizioni per la redazione del bil</w:t>
      </w:r>
      <w:r>
        <w:rPr>
          <w:rFonts w:ascii="Century Schoolbook" w:eastAsia="Century Schoolbook" w:hAnsi="Century Schoolbook" w:cs="Century Schoolbook"/>
          <w:sz w:val="22"/>
          <w:szCs w:val="22"/>
        </w:rPr>
        <w:t xml:space="preserve">ancio di genere da parte degli enti territoriali, che si propone di introdurre, dopo una prima fase sperimentale, l’obbligo di redigere il bilancio di genere per Regioni, Province, Città metropolitane, unioni di comuni e comuni con popolazione superiore a </w:t>
      </w:r>
      <w:r>
        <w:rPr>
          <w:rFonts w:ascii="Century Schoolbook" w:eastAsia="Century Schoolbook" w:hAnsi="Century Schoolbook" w:cs="Century Schoolbook"/>
          <w:sz w:val="22"/>
          <w:szCs w:val="22"/>
        </w:rPr>
        <w:t>5.000 abitanti.</w:t>
      </w:r>
    </w:p>
    <w:p w14:paraId="5D311281"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In relazione allo specifico contesto regionale, la Campania si presenta come una delle regioni con i più elevati divari di genere, che sono risultati persino acuiti dall’avvento della pandemia da Covid-19 nel 2020. </w:t>
      </w:r>
    </w:p>
    <w:p w14:paraId="3E9FB6AE"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Secondo le più recenti r</w:t>
      </w:r>
      <w:r>
        <w:rPr>
          <w:rFonts w:ascii="Century Schoolbook" w:eastAsia="Century Schoolbook" w:hAnsi="Century Schoolbook" w:cs="Century Schoolbook"/>
          <w:sz w:val="22"/>
          <w:szCs w:val="22"/>
        </w:rPr>
        <w:t>ilevazioni rese note dall’INPS (marzo 2022), in Campania il divario retributivo tra uomo e donna è attestato, nel settore privato, al 34%, ben due punti in più rispetto alla media nazionale (32%). Nel lavoro dipendente del settore pubblico il divario è cor</w:t>
      </w:r>
      <w:r>
        <w:rPr>
          <w:rFonts w:ascii="Century Schoolbook" w:eastAsia="Century Schoolbook" w:hAnsi="Century Schoolbook" w:cs="Century Schoolbook"/>
          <w:sz w:val="22"/>
          <w:szCs w:val="22"/>
        </w:rPr>
        <w:t xml:space="preserve">relato a una </w:t>
      </w:r>
      <w:proofErr w:type="spellStart"/>
      <w:r>
        <w:rPr>
          <w:rFonts w:ascii="Century Schoolbook" w:eastAsia="Century Schoolbook" w:hAnsi="Century Schoolbook" w:cs="Century Schoolbook"/>
          <w:sz w:val="22"/>
          <w:szCs w:val="22"/>
        </w:rPr>
        <w:t>sovrarappresentanza</w:t>
      </w:r>
      <w:proofErr w:type="spellEnd"/>
      <w:r>
        <w:rPr>
          <w:rFonts w:ascii="Century Schoolbook" w:eastAsia="Century Schoolbook" w:hAnsi="Century Schoolbook" w:cs="Century Schoolbook"/>
          <w:sz w:val="22"/>
          <w:szCs w:val="22"/>
        </w:rPr>
        <w:t xml:space="preserve"> delle donne in settori a retribuzione relativamente bassa, come la salute, l’assistenza e l’istruzione. Quanto ai livelli occupazionali, tra tutte le persone che hanno perso il lavoro nel 2020 in Campania, ben il 73% era co</w:t>
      </w:r>
      <w:r>
        <w:rPr>
          <w:rFonts w:ascii="Century Schoolbook" w:eastAsia="Century Schoolbook" w:hAnsi="Century Schoolbook" w:cs="Century Schoolbook"/>
          <w:sz w:val="22"/>
          <w:szCs w:val="22"/>
        </w:rPr>
        <w:t xml:space="preserve">stituito da donne; stando a un’elaborazione di </w:t>
      </w:r>
      <w:proofErr w:type="spellStart"/>
      <w:r>
        <w:rPr>
          <w:rFonts w:ascii="Century Schoolbook" w:eastAsia="Century Schoolbook" w:hAnsi="Century Schoolbook" w:cs="Century Schoolbook"/>
          <w:sz w:val="22"/>
          <w:szCs w:val="22"/>
        </w:rPr>
        <w:t>Ires</w:t>
      </w:r>
      <w:proofErr w:type="spellEnd"/>
      <w:r>
        <w:rPr>
          <w:rFonts w:ascii="Century Schoolbook" w:eastAsia="Century Schoolbook" w:hAnsi="Century Schoolbook" w:cs="Century Schoolbook"/>
          <w:sz w:val="22"/>
          <w:szCs w:val="22"/>
        </w:rPr>
        <w:t xml:space="preserve">-Cgil su dati Istat, resa nota dal Sole 24 Ore, l’occupazione femminile è infatti calata del 15% (-42.000 occupate donne), a fronte di un decremento del 2% di quella maschile (-11.340 occupati uomini). La </w:t>
      </w:r>
      <w:r>
        <w:rPr>
          <w:rFonts w:ascii="Century Schoolbook" w:eastAsia="Century Schoolbook" w:hAnsi="Century Schoolbook" w:cs="Century Schoolbook"/>
          <w:sz w:val="22"/>
          <w:szCs w:val="22"/>
        </w:rPr>
        <w:t xml:space="preserve">disoccupazione femminile in Campania è così salita dal 31% del 2019 al 34,8% del 2020, collocando la nostra Regione tra le ultime quattro in Italia, insieme a Puglia, Calabria e Sicilia. </w:t>
      </w:r>
    </w:p>
    <w:p w14:paraId="1030068F"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Si tratta di dati che hanno spinto la Regione a varare un primo prov</w:t>
      </w:r>
      <w:r>
        <w:rPr>
          <w:rFonts w:ascii="Century Schoolbook" w:eastAsia="Century Schoolbook" w:hAnsi="Century Schoolbook" w:cs="Century Schoolbook"/>
          <w:sz w:val="22"/>
          <w:szCs w:val="22"/>
        </w:rPr>
        <w:t>vedimento legislativo nel tentativo di invertire questa tendenza, rappresentato dalla legge regionale n. 17 del 26 ottobre 2021 (Disposizioni per la promozione della parità retributiva tra i sessi, il sostegno dell’occupazione e dell’imprenditoria femminil</w:t>
      </w:r>
      <w:r>
        <w:rPr>
          <w:rFonts w:ascii="Century Schoolbook" w:eastAsia="Century Schoolbook" w:hAnsi="Century Schoolbook" w:cs="Century Schoolbook"/>
          <w:sz w:val="22"/>
          <w:szCs w:val="22"/>
        </w:rPr>
        <w:t>e di qualità, nonché per la valorizzazione delle competenze delle donne), con cui si è introdotto nell’ordinamento regionale un insieme di misure per contrastare il gender gap, offrendo un sostegno all’occupazione femminile e alle imprese a conduzione femm</w:t>
      </w:r>
      <w:r>
        <w:rPr>
          <w:rFonts w:ascii="Century Schoolbook" w:eastAsia="Century Schoolbook" w:hAnsi="Century Schoolbook" w:cs="Century Schoolbook"/>
          <w:sz w:val="22"/>
          <w:szCs w:val="22"/>
        </w:rPr>
        <w:t>inile (o con una spiccata sensibilità su questi temi).</w:t>
      </w:r>
    </w:p>
    <w:p w14:paraId="1D784B28" w14:textId="77777777" w:rsidR="00775439" w:rsidRDefault="00775439">
      <w:p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p>
    <w:p w14:paraId="2AE801A5" w14:textId="77777777" w:rsidR="00775439" w:rsidRDefault="00641D97">
      <w:pPr>
        <w:numPr>
          <w:ilvl w:val="0"/>
          <w:numId w:val="4"/>
        </w:numPr>
        <w:pBdr>
          <w:top w:val="nil"/>
          <w:left w:val="nil"/>
          <w:bottom w:val="nil"/>
          <w:right w:val="nil"/>
          <w:between w:val="nil"/>
        </w:pBdr>
        <w:spacing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Indicazione degli obiettivi perseguiti con l’intervento normativo</w:t>
      </w:r>
    </w:p>
    <w:p w14:paraId="2193CEB1" w14:textId="77777777" w:rsidR="00775439" w:rsidRDefault="00641D97">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L’obiettivo dell’intervento normativo è quello di introdurre nell’ordinamento regionale il bilancio di genere, quale strumento fondamentale di rendicontazione delle politiche pubbliche in un’ottica di genere, contribuendo a diffondere nelle articolazioni d</w:t>
      </w:r>
      <w:r>
        <w:rPr>
          <w:rFonts w:ascii="Century Schoolbook" w:eastAsia="Century Schoolbook" w:hAnsi="Century Schoolbook" w:cs="Century Schoolbook"/>
          <w:sz w:val="22"/>
          <w:szCs w:val="22"/>
        </w:rPr>
        <w:t>ell’amministrazione regionale una maggiore attenzione e sensibilizzazione rispetto al tema della parità e al contrasto delle discriminazioni di genere. L’analisi del bilancio secondo una prospettiva di genere può consentire inoltre di individuare più chiar</w:t>
      </w:r>
      <w:r>
        <w:rPr>
          <w:rFonts w:ascii="Century Schoolbook" w:eastAsia="Century Schoolbook" w:hAnsi="Century Schoolbook" w:cs="Century Schoolbook"/>
          <w:sz w:val="22"/>
          <w:szCs w:val="22"/>
        </w:rPr>
        <w:t xml:space="preserve">amente le risorse stanziate ed erogate in favore delle </w:t>
      </w:r>
      <w:r>
        <w:rPr>
          <w:rFonts w:ascii="Century Schoolbook" w:eastAsia="Century Schoolbook" w:hAnsi="Century Schoolbook" w:cs="Century Schoolbook"/>
          <w:sz w:val="22"/>
          <w:szCs w:val="22"/>
        </w:rPr>
        <w:lastRenderedPageBreak/>
        <w:t>pari opportunità di genere, con una maggiore considerazione delle caratteristiche della popolazione di riferimento nel disegno degli interventi pubblici e nella loro implementazione.</w:t>
      </w:r>
    </w:p>
    <w:p w14:paraId="3E6D152C" w14:textId="77777777" w:rsidR="00775439" w:rsidRDefault="00775439">
      <w:pPr>
        <w:spacing w:after="200" w:line="276" w:lineRule="auto"/>
        <w:jc w:val="both"/>
        <w:rPr>
          <w:rFonts w:ascii="Century Schoolbook" w:eastAsia="Century Schoolbook" w:hAnsi="Century Schoolbook" w:cs="Century Schoolbook"/>
          <w:sz w:val="22"/>
          <w:szCs w:val="22"/>
        </w:rPr>
      </w:pPr>
    </w:p>
    <w:p w14:paraId="79D20DA6" w14:textId="77777777" w:rsidR="00775439" w:rsidRDefault="00641D97">
      <w:pPr>
        <w:numPr>
          <w:ilvl w:val="0"/>
          <w:numId w:val="4"/>
        </w:numPr>
        <w:pBdr>
          <w:top w:val="nil"/>
          <w:left w:val="nil"/>
          <w:bottom w:val="nil"/>
          <w:right w:val="nil"/>
          <w:between w:val="nil"/>
        </w:pBdr>
        <w:spacing w:after="24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Descrizione degli</w:t>
      </w:r>
      <w:r>
        <w:rPr>
          <w:rFonts w:ascii="Century Schoolbook" w:eastAsia="Century Schoolbook" w:hAnsi="Century Schoolbook" w:cs="Century Schoolbook"/>
          <w:b/>
          <w:i/>
          <w:color w:val="000000"/>
          <w:sz w:val="22"/>
          <w:szCs w:val="22"/>
        </w:rPr>
        <w:t xml:space="preserve"> indicatori che consentono di verificare il grado di raggiungimento degli obiettivi indicati e di monitorare l’attuazione dell’intervento nell’ambito della VIR</w:t>
      </w:r>
    </w:p>
    <w:p w14:paraId="0A62A340" w14:textId="77777777" w:rsidR="00775439" w:rsidRDefault="00641D97">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Tra i principali indicatori che consentiranno di verificare il grado di raggiungimento degli obiettivi, tra cui, in modo particolare, la riduzione complessiva del divario di genere nel contesto regionale campano, vi sono:</w:t>
      </w:r>
    </w:p>
    <w:p w14:paraId="051D912A" w14:textId="77777777" w:rsidR="00775439" w:rsidRDefault="00641D97">
      <w:pPr>
        <w:numPr>
          <w:ilvl w:val="0"/>
          <w:numId w:val="5"/>
        </w:numPr>
        <w:pBdr>
          <w:top w:val="nil"/>
          <w:left w:val="nil"/>
          <w:bottom w:val="nil"/>
          <w:right w:val="nil"/>
          <w:between w:val="nil"/>
        </w:pBdr>
        <w:spacing w:line="276" w:lineRule="auto"/>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l’implementazione delle attività d</w:t>
      </w:r>
      <w:r>
        <w:rPr>
          <w:rFonts w:ascii="Century Schoolbook" w:eastAsia="Century Schoolbook" w:hAnsi="Century Schoolbook" w:cs="Century Schoolbook"/>
          <w:sz w:val="22"/>
          <w:szCs w:val="22"/>
        </w:rPr>
        <w:t>i monitoraggio e valutazione delle politiche pubbliche in tema di pari opportunità;</w:t>
      </w:r>
    </w:p>
    <w:p w14:paraId="5A56B39A" w14:textId="77777777" w:rsidR="00775439" w:rsidRDefault="00641D97">
      <w:pPr>
        <w:numPr>
          <w:ilvl w:val="0"/>
          <w:numId w:val="5"/>
        </w:numPr>
        <w:pBdr>
          <w:top w:val="nil"/>
          <w:left w:val="nil"/>
          <w:bottom w:val="nil"/>
          <w:right w:val="nil"/>
          <w:between w:val="nil"/>
        </w:pBdr>
        <w:spacing w:line="276" w:lineRule="auto"/>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l’effettuazione di un’analisi del diverso impatto sulla condizione di donne e uomini delle politiche in tutti i settori dell’intervento pubblico;</w:t>
      </w:r>
    </w:p>
    <w:p w14:paraId="4B34EF64" w14:textId="77777777" w:rsidR="00775439" w:rsidRDefault="00641D97">
      <w:pPr>
        <w:numPr>
          <w:ilvl w:val="0"/>
          <w:numId w:val="5"/>
        </w:numPr>
        <w:pBdr>
          <w:top w:val="nil"/>
          <w:left w:val="nil"/>
          <w:bottom w:val="nil"/>
          <w:right w:val="nil"/>
          <w:between w:val="nil"/>
        </w:pBdr>
        <w:spacing w:line="276" w:lineRule="auto"/>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l’effettivo contributo all</w:t>
      </w:r>
      <w:r>
        <w:rPr>
          <w:rFonts w:ascii="Century Schoolbook" w:eastAsia="Century Schoolbook" w:hAnsi="Century Schoolbook" w:cs="Century Schoolbook"/>
          <w:sz w:val="22"/>
          <w:szCs w:val="22"/>
        </w:rPr>
        <w:t>’individuazione delle priorità politiche dell’Ente, oltre che delle azioni e degli strumenti finalizzati al raggiungimento della parità tra donne e uomini, anche attraverso una eventuale riallocazione della spesa pubblica senza incrementare il budget compl</w:t>
      </w:r>
      <w:r>
        <w:rPr>
          <w:rFonts w:ascii="Century Schoolbook" w:eastAsia="Century Schoolbook" w:hAnsi="Century Schoolbook" w:cs="Century Schoolbook"/>
          <w:sz w:val="22"/>
          <w:szCs w:val="22"/>
        </w:rPr>
        <w:t>essivo a disposizione.</w:t>
      </w:r>
    </w:p>
    <w:p w14:paraId="48D09E01" w14:textId="77777777" w:rsidR="00775439" w:rsidRDefault="00775439">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p>
    <w:p w14:paraId="064A5B91" w14:textId="77777777" w:rsidR="00775439" w:rsidRDefault="00641D97">
      <w:pPr>
        <w:numPr>
          <w:ilvl w:val="0"/>
          <w:numId w:val="4"/>
        </w:numPr>
        <w:pBdr>
          <w:top w:val="nil"/>
          <w:left w:val="nil"/>
          <w:bottom w:val="nil"/>
          <w:right w:val="nil"/>
          <w:between w:val="nil"/>
        </w:pBdr>
        <w:spacing w:after="24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Indicazione delle categorie dei soggetti, pubblici e privati, destinatari dei principali effetti dell’intervento regolatorio</w:t>
      </w:r>
    </w:p>
    <w:p w14:paraId="6DA77CED" w14:textId="77777777" w:rsidR="00775439" w:rsidRDefault="00641D97">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Destinataria principale dell’intervento normativo è la collettività regionale nel suo insieme, in quanto essa potrà beneficiare di una impostazione delle politiche pubbliche tagliata sulle esigenze specifiche di uomini e donne e maggiormente rispondente ai</w:t>
      </w:r>
      <w:r>
        <w:rPr>
          <w:rFonts w:ascii="Century Schoolbook" w:eastAsia="Century Schoolbook" w:hAnsi="Century Schoolbook" w:cs="Century Schoolbook"/>
          <w:sz w:val="22"/>
          <w:szCs w:val="22"/>
        </w:rPr>
        <w:t xml:space="preserve"> più recenti orientamenti europei e nazionali.</w:t>
      </w:r>
    </w:p>
    <w:p w14:paraId="4D70733A" w14:textId="77777777" w:rsidR="00775439" w:rsidRDefault="00641D97">
      <w:pPr>
        <w:pBdr>
          <w:top w:val="nil"/>
          <w:left w:val="nil"/>
          <w:bottom w:val="nil"/>
          <w:right w:val="nil"/>
          <w:between w:val="nil"/>
        </w:pBdr>
        <w:spacing w:before="200"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6E015DE5" w14:textId="77777777" w:rsidR="00775439" w:rsidRDefault="00641D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2</w:t>
      </w:r>
    </w:p>
    <w:p w14:paraId="457C14A0"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Procedure di consultazione precedenti l’intervento</w:t>
      </w:r>
    </w:p>
    <w:p w14:paraId="44301079" w14:textId="77777777" w:rsidR="00775439" w:rsidRDefault="00641D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w:t>
      </w:r>
      <w:r>
        <w:rPr>
          <w:rFonts w:ascii="Century Schoolbook" w:eastAsia="Century Schoolbook" w:hAnsi="Century Schoolbook" w:cs="Century Schoolbook"/>
          <w:b/>
        </w:rPr>
        <w:t>_____________</w:t>
      </w:r>
    </w:p>
    <w:p w14:paraId="02F4BD57" w14:textId="77777777" w:rsidR="00775439" w:rsidRDefault="00641D97">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Non sono stati realizzati processi di consultazione dei portatori di interesse, alla luce della possibilità di effettuare una apposita fase di audizione con esperti della materia presso la Commissione consiliare incaricata dell’esame del prov</w:t>
      </w:r>
      <w:r>
        <w:rPr>
          <w:rFonts w:ascii="Century Schoolbook" w:eastAsia="Century Schoolbook" w:hAnsi="Century Schoolbook" w:cs="Century Schoolbook"/>
          <w:sz w:val="22"/>
          <w:szCs w:val="22"/>
        </w:rPr>
        <w:t>vedimento.</w:t>
      </w:r>
    </w:p>
    <w:p w14:paraId="02105BBF" w14:textId="77777777" w:rsidR="00775439" w:rsidRDefault="00641D97">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Inoltre, alcune delle criticità a cui l’intervento normativo intende rispondere sono già emerse in sede di esame della citata proposta di legge regionale “Disposizioni per la promozione della </w:t>
      </w:r>
      <w:r>
        <w:rPr>
          <w:rFonts w:ascii="Century Schoolbook" w:eastAsia="Century Schoolbook" w:hAnsi="Century Schoolbook" w:cs="Century Schoolbook"/>
          <w:sz w:val="22"/>
          <w:szCs w:val="22"/>
        </w:rPr>
        <w:lastRenderedPageBreak/>
        <w:t>parità retributiva tra i sessi, il sostegno dell’occu</w:t>
      </w:r>
      <w:r>
        <w:rPr>
          <w:rFonts w:ascii="Century Schoolbook" w:eastAsia="Century Schoolbook" w:hAnsi="Century Schoolbook" w:cs="Century Schoolbook"/>
          <w:sz w:val="22"/>
          <w:szCs w:val="22"/>
        </w:rPr>
        <w:t>pazione e dell’imprenditoria femminile di qualità, nonché per la valorizzazione delle competenze delle donne” (Reg. Gen. n. 63), poi divenuta legge reg. 17/2021.</w:t>
      </w:r>
    </w:p>
    <w:p w14:paraId="489C5726"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30C83673" w14:textId="77777777" w:rsidR="00775439" w:rsidRDefault="00641D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3</w:t>
      </w:r>
    </w:p>
    <w:p w14:paraId="0BDDB053"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Val</w:t>
      </w:r>
      <w:r>
        <w:rPr>
          <w:rFonts w:ascii="Century Schoolbook" w:eastAsia="Century Schoolbook" w:hAnsi="Century Schoolbook" w:cs="Century Schoolbook"/>
          <w:b/>
        </w:rPr>
        <w:t>utazione dell’opzione di non intervento di regolamentazione (opzione zero)</w:t>
      </w:r>
    </w:p>
    <w:p w14:paraId="52C20BC3" w14:textId="77777777" w:rsidR="00775439" w:rsidRDefault="00641D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794A06BC" w14:textId="77777777" w:rsidR="00775439" w:rsidRDefault="00641D97">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zero è stata valutata come non percorribile, in quanto il mancato intervento di regolament</w:t>
      </w:r>
      <w:r>
        <w:rPr>
          <w:rFonts w:ascii="Century Schoolbook" w:eastAsia="Century Schoolbook" w:hAnsi="Century Schoolbook" w:cs="Century Schoolbook"/>
          <w:sz w:val="22"/>
          <w:szCs w:val="22"/>
        </w:rPr>
        <w:t>azione non sarebbe in grado di fornire una risposta valida agli obiettivi e alle finalità indicati nella sezione 1.</w:t>
      </w:r>
    </w:p>
    <w:p w14:paraId="27F164C4"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72B38074" w14:textId="77777777" w:rsidR="00775439" w:rsidRDefault="00641D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4</w:t>
      </w:r>
    </w:p>
    <w:p w14:paraId="6B53C664" w14:textId="77777777" w:rsidR="00775439" w:rsidRDefault="00641D97">
      <w:pPr>
        <w:spacing w:line="276" w:lineRule="auto"/>
        <w:jc w:val="both"/>
        <w:rPr>
          <w:rFonts w:ascii="Century Schoolbook" w:eastAsia="Century Schoolbook" w:hAnsi="Century Schoolbook" w:cs="Century Schoolbook"/>
          <w:b/>
        </w:rPr>
      </w:pPr>
      <w:proofErr w:type="gramStart"/>
      <w:r>
        <w:rPr>
          <w:rFonts w:ascii="Century Schoolbook" w:eastAsia="Century Schoolbook" w:hAnsi="Century Schoolbook" w:cs="Century Schoolbook"/>
          <w:b/>
        </w:rPr>
        <w:t>Opzioni alternative</w:t>
      </w:r>
      <w:proofErr w:type="gramEnd"/>
      <w:r>
        <w:rPr>
          <w:rFonts w:ascii="Century Schoolbook" w:eastAsia="Century Schoolbook" w:hAnsi="Century Schoolbook" w:cs="Century Schoolbook"/>
          <w:b/>
        </w:rPr>
        <w:t xml:space="preserve"> all’intervento regolatorio</w:t>
      </w:r>
    </w:p>
    <w:p w14:paraId="07EEEC08" w14:textId="77777777" w:rsidR="00775439" w:rsidRDefault="00641D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73E1B290" w14:textId="77777777" w:rsidR="00775439" w:rsidRDefault="00641D97">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Non sono state considerate e valutate </w:t>
      </w:r>
      <w:proofErr w:type="gramStart"/>
      <w:r>
        <w:rPr>
          <w:rFonts w:ascii="Century Schoolbook" w:eastAsia="Century Schoolbook" w:hAnsi="Century Schoolbook" w:cs="Century Schoolbook"/>
          <w:sz w:val="22"/>
          <w:szCs w:val="22"/>
        </w:rPr>
        <w:t>opzioni alternative</w:t>
      </w:r>
      <w:proofErr w:type="gramEnd"/>
      <w:r>
        <w:rPr>
          <w:rFonts w:ascii="Century Schoolbook" w:eastAsia="Century Schoolbook" w:hAnsi="Century Schoolbook" w:cs="Century Schoolbook"/>
          <w:sz w:val="22"/>
          <w:szCs w:val="22"/>
        </w:rPr>
        <w:t xml:space="preserve"> all’intervento normativo.</w:t>
      </w:r>
    </w:p>
    <w:p w14:paraId="348C3F57" w14:textId="77777777" w:rsidR="00775439" w:rsidRDefault="00641D97">
      <w:pPr>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w:t>
      </w:r>
      <w:r>
        <w:rPr>
          <w:rFonts w:ascii="Century Schoolbook" w:eastAsia="Century Schoolbook" w:hAnsi="Century Schoolbook" w:cs="Century Schoolbook"/>
          <w:b/>
        </w:rPr>
        <w:t>____________________________________</w:t>
      </w:r>
    </w:p>
    <w:p w14:paraId="0366BE5B" w14:textId="77777777" w:rsidR="00775439" w:rsidRDefault="00641D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5</w:t>
      </w:r>
    </w:p>
    <w:p w14:paraId="17A1630E"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Giustificazione dell’opzione regolatoria proposta e valutazione degli oneri amministrativi e dell’impatto sulle PMI</w:t>
      </w:r>
    </w:p>
    <w:p w14:paraId="2561DA31" w14:textId="77777777" w:rsidR="00775439" w:rsidRDefault="00641D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35FC55EE" w14:textId="77777777" w:rsidR="00775439" w:rsidRDefault="00641D97">
      <w:pPr>
        <w:numPr>
          <w:ilvl w:val="0"/>
          <w:numId w:val="6"/>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 xml:space="preserve">Svantaggi e </w:t>
      </w:r>
      <w:r>
        <w:rPr>
          <w:rFonts w:ascii="Century Schoolbook" w:eastAsia="Century Schoolbook" w:hAnsi="Century Schoolbook" w:cs="Century Schoolbook"/>
          <w:b/>
          <w:i/>
          <w:color w:val="000000"/>
          <w:sz w:val="22"/>
          <w:szCs w:val="22"/>
        </w:rPr>
        <w:t>vantaggi dell’opzione prescelta per i destinatari diretti e indiretti</w:t>
      </w:r>
    </w:p>
    <w:p w14:paraId="2C7953EB" w14:textId="77777777" w:rsidR="00775439" w:rsidRDefault="00641D97">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proposta determina vantaggi per i destinatari dell’intervento. Dal provvedimento non derivano particolari svantaggi ai soggetti interessati.</w:t>
      </w:r>
    </w:p>
    <w:p w14:paraId="45952AA6" w14:textId="77777777" w:rsidR="00775439" w:rsidRDefault="00775439">
      <w:pPr>
        <w:spacing w:before="200"/>
        <w:jc w:val="both"/>
        <w:rPr>
          <w:rFonts w:ascii="Century Schoolbook" w:eastAsia="Century Schoolbook" w:hAnsi="Century Schoolbook" w:cs="Century Schoolbook"/>
          <w:sz w:val="22"/>
          <w:szCs w:val="22"/>
        </w:rPr>
      </w:pPr>
    </w:p>
    <w:p w14:paraId="0691F8B3" w14:textId="77777777" w:rsidR="00775439" w:rsidRDefault="00641D97">
      <w:pPr>
        <w:numPr>
          <w:ilvl w:val="0"/>
          <w:numId w:val="6"/>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Individuazione e stima degli effet</w:t>
      </w:r>
      <w:r>
        <w:rPr>
          <w:rFonts w:ascii="Century Schoolbook" w:eastAsia="Century Schoolbook" w:hAnsi="Century Schoolbook" w:cs="Century Schoolbook"/>
          <w:b/>
          <w:i/>
          <w:color w:val="000000"/>
          <w:sz w:val="22"/>
          <w:szCs w:val="22"/>
        </w:rPr>
        <w:t>ti dell’opzione prescelta sulle micro, piccole e medie imprese</w:t>
      </w:r>
    </w:p>
    <w:p w14:paraId="28FEAF10" w14:textId="77777777" w:rsidR="00775439" w:rsidRDefault="00641D97">
      <w:pPr>
        <w:spacing w:before="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La regolamentazione può garantire indiretti ma favorevoli effetti sulle micro, piccole e medie imprese campane, in quanto la sua corretta attuazione potrebbe condurre a una migliore allocazione</w:t>
      </w:r>
      <w:r>
        <w:rPr>
          <w:rFonts w:ascii="Century Schoolbook" w:eastAsia="Century Schoolbook" w:hAnsi="Century Schoolbook" w:cs="Century Schoolbook"/>
          <w:sz w:val="22"/>
          <w:szCs w:val="22"/>
        </w:rPr>
        <w:t xml:space="preserve"> anche delle risorse pubbliche destinate al comparto, in un quadro teso a favorire la riduzione del divario di genere nel contesto regionale campano.</w:t>
      </w:r>
    </w:p>
    <w:p w14:paraId="4D8ECFF4" w14:textId="77777777" w:rsidR="00775439" w:rsidRDefault="00775439">
      <w:pPr>
        <w:spacing w:after="200"/>
        <w:jc w:val="both"/>
        <w:rPr>
          <w:rFonts w:ascii="Century Schoolbook" w:eastAsia="Century Schoolbook" w:hAnsi="Century Schoolbook" w:cs="Century Schoolbook"/>
          <w:sz w:val="22"/>
          <w:szCs w:val="22"/>
        </w:rPr>
      </w:pPr>
    </w:p>
    <w:p w14:paraId="7ACCA6FE" w14:textId="77777777" w:rsidR="00775439" w:rsidRDefault="00641D97">
      <w:pPr>
        <w:numPr>
          <w:ilvl w:val="0"/>
          <w:numId w:val="6"/>
        </w:numPr>
        <w:spacing w:before="200" w:after="200"/>
        <w:jc w:val="both"/>
        <w:rPr>
          <w:rFonts w:ascii="Century Schoolbook" w:eastAsia="Century Schoolbook" w:hAnsi="Century Schoolbook" w:cs="Century Schoolbook"/>
          <w:b/>
          <w:i/>
          <w:sz w:val="22"/>
          <w:szCs w:val="22"/>
        </w:rPr>
      </w:pPr>
      <w:r>
        <w:rPr>
          <w:rFonts w:ascii="Century Schoolbook" w:eastAsia="Century Schoolbook" w:hAnsi="Century Schoolbook" w:cs="Century Schoolbook"/>
          <w:b/>
          <w:i/>
          <w:sz w:val="22"/>
          <w:szCs w:val="22"/>
        </w:rPr>
        <w:lastRenderedPageBreak/>
        <w:t>Indicazione e stima degli oneri informativi e dei relativi costi amministrativi, introdotti o eliminati a carico di cittadini e imprese. Per onere informativo si intende qualunque tipologia di adempimento comportante raccolta, elaborazione, trasmissione, c</w:t>
      </w:r>
      <w:r>
        <w:rPr>
          <w:rFonts w:ascii="Century Schoolbook" w:eastAsia="Century Schoolbook" w:hAnsi="Century Schoolbook" w:cs="Century Schoolbook"/>
          <w:b/>
          <w:i/>
          <w:sz w:val="22"/>
          <w:szCs w:val="22"/>
        </w:rPr>
        <w:t>onservazione e produzione di informazioni, comunicazioni e documenti alla pubblica amministrazione</w:t>
      </w:r>
    </w:p>
    <w:p w14:paraId="182F58EF" w14:textId="77777777" w:rsidR="00775439" w:rsidRDefault="00641D97">
      <w:pPr>
        <w:spacing w:before="200"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L’intervento regolatorio non comporta riduzione di oneri informativi o costi a carico dei cittadini o delle imprese. </w:t>
      </w:r>
    </w:p>
    <w:p w14:paraId="6B7389A3" w14:textId="77777777" w:rsidR="00775439" w:rsidRDefault="00641D97">
      <w:pPr>
        <w:spacing w:before="200" w:after="200"/>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4A7410A0" w14:textId="77777777" w:rsidR="00775439" w:rsidRDefault="00641D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6</w:t>
      </w:r>
    </w:p>
    <w:p w14:paraId="61AE9EDE"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Incidenza sul corretto funzionamento concorrenz</w:t>
      </w:r>
      <w:r>
        <w:rPr>
          <w:rFonts w:ascii="Century Schoolbook" w:eastAsia="Century Schoolbook" w:hAnsi="Century Schoolbook" w:cs="Century Schoolbook"/>
          <w:b/>
        </w:rPr>
        <w:t xml:space="preserve">iale del mercato e sulla competitività regionale, nonché sulle politiche giovanili </w:t>
      </w:r>
    </w:p>
    <w:p w14:paraId="03119533" w14:textId="77777777" w:rsidR="00775439" w:rsidRDefault="00641D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495843E" w14:textId="77777777" w:rsidR="00775439" w:rsidRDefault="00641D97">
      <w:pPr>
        <w:spacing w:after="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prescelta può garantire indirette ma positive ripercussioni sul corretto funziona</w:t>
      </w:r>
      <w:r>
        <w:rPr>
          <w:rFonts w:ascii="Century Schoolbook" w:eastAsia="Century Schoolbook" w:hAnsi="Century Schoolbook" w:cs="Century Schoolbook"/>
          <w:sz w:val="22"/>
          <w:szCs w:val="22"/>
        </w:rPr>
        <w:t>mento del mercato, e sulle forme di imprenditorialità anche giovanili, in quanto si prevede di monitorare e valutare la spesa pubblica regionale in un’ottica di riduzione del divario di genere.</w:t>
      </w:r>
    </w:p>
    <w:p w14:paraId="06FF19A4" w14:textId="77777777" w:rsidR="00775439" w:rsidRDefault="00641D97">
      <w:pPr>
        <w:spacing w:after="240"/>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w:t>
      </w:r>
      <w:r>
        <w:rPr>
          <w:rFonts w:ascii="Century Schoolbook" w:eastAsia="Century Schoolbook" w:hAnsi="Century Schoolbook" w:cs="Century Schoolbook"/>
          <w:b/>
        </w:rPr>
        <w:t>__________________</w:t>
      </w:r>
    </w:p>
    <w:p w14:paraId="03876E44" w14:textId="77777777" w:rsidR="00775439" w:rsidRDefault="00641D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7</w:t>
      </w:r>
    </w:p>
    <w:p w14:paraId="7D9DD754" w14:textId="77777777" w:rsidR="00775439" w:rsidRDefault="00641D97">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sz w:val="22"/>
          <w:szCs w:val="22"/>
        </w:rPr>
        <w:t>Modalità attuative dell’intervento di regolamentazione</w:t>
      </w:r>
      <w:r>
        <w:rPr>
          <w:rFonts w:ascii="Century Schoolbook" w:eastAsia="Century Schoolbook" w:hAnsi="Century Schoolbook" w:cs="Century Schoolbook"/>
          <w:b/>
        </w:rPr>
        <w:t xml:space="preserve"> </w:t>
      </w:r>
    </w:p>
    <w:p w14:paraId="2B5AAD4C" w14:textId="77777777" w:rsidR="00775439" w:rsidRDefault="00641D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0B71925" w14:textId="77777777" w:rsidR="00775439" w:rsidRDefault="00641D97">
      <w:pPr>
        <w:numPr>
          <w:ilvl w:val="0"/>
          <w:numId w:val="1"/>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Soggetti responsabili dell’attuazione dell’intervento regolatorio</w:t>
      </w:r>
    </w:p>
    <w:p w14:paraId="1B4C86CC" w14:textId="77777777" w:rsidR="00775439" w:rsidRDefault="00641D97">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Sono responsabili dell’a</w:t>
      </w:r>
      <w:r>
        <w:rPr>
          <w:rFonts w:ascii="Century Schoolbook" w:eastAsia="Century Schoolbook" w:hAnsi="Century Schoolbook" w:cs="Century Schoolbook"/>
          <w:sz w:val="22"/>
          <w:szCs w:val="22"/>
        </w:rPr>
        <w:t>ttuazione delle disposizioni previste dall’intervento normativo la Regione, e in particolare la Giunta regionale e le strutture amministrative competenti.</w:t>
      </w:r>
    </w:p>
    <w:p w14:paraId="61DBF83B" w14:textId="77777777" w:rsidR="00775439" w:rsidRDefault="00775439">
      <w:pPr>
        <w:spacing w:after="200"/>
        <w:jc w:val="both"/>
        <w:rPr>
          <w:rFonts w:ascii="Century Schoolbook" w:eastAsia="Century Schoolbook" w:hAnsi="Century Schoolbook" w:cs="Century Schoolbook"/>
          <w:sz w:val="22"/>
          <w:szCs w:val="22"/>
        </w:rPr>
      </w:pPr>
    </w:p>
    <w:p w14:paraId="4ECECB25" w14:textId="77777777" w:rsidR="00775439" w:rsidRDefault="00641D97">
      <w:pPr>
        <w:numPr>
          <w:ilvl w:val="0"/>
          <w:numId w:val="1"/>
        </w:numPr>
        <w:pBdr>
          <w:top w:val="nil"/>
          <w:left w:val="nil"/>
          <w:bottom w:val="nil"/>
          <w:right w:val="nil"/>
          <w:between w:val="nil"/>
        </w:pBdr>
        <w:spacing w:after="200"/>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sz w:val="22"/>
          <w:szCs w:val="22"/>
        </w:rPr>
        <w:t>Azioni per la pubblicità e per l’informazione dell’intervento</w:t>
      </w:r>
    </w:p>
    <w:p w14:paraId="30B90F67" w14:textId="5DEBDFBB" w:rsidR="00775439" w:rsidRDefault="00641D97" w:rsidP="00BB002C">
      <w:pPr>
        <w:pBdr>
          <w:top w:val="nil"/>
          <w:left w:val="nil"/>
          <w:bottom w:val="nil"/>
          <w:right w:val="nil"/>
          <w:between w:val="nil"/>
        </w:pBd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Non sono previste particolari azioni per la pubblicità e l’informazione dell’intervento, oltre alla consueta pubblicazione sul Bollettino Ufficiale della Regione.</w:t>
      </w:r>
    </w:p>
    <w:p w14:paraId="4690B417" w14:textId="77777777" w:rsidR="00775439" w:rsidRDefault="00641D97">
      <w:pPr>
        <w:numPr>
          <w:ilvl w:val="0"/>
          <w:numId w:val="1"/>
        </w:numPr>
        <w:pBdr>
          <w:top w:val="nil"/>
          <w:left w:val="nil"/>
          <w:bottom w:val="nil"/>
          <w:right w:val="nil"/>
          <w:between w:val="nil"/>
        </w:pBdr>
        <w:spacing w:before="200"/>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Strumenti e modalità per il controllo e il monitoraggio dell’intervento regolatorio</w:t>
      </w:r>
    </w:p>
    <w:p w14:paraId="3859AFBF" w14:textId="77777777" w:rsidR="00775439" w:rsidRDefault="00641D97">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Si prevede che la Giunta regionale riferisca annualmente alla Commissione competente del Consiglio regionale in merito all’attuazione dell’intervento normativo.</w:t>
      </w:r>
    </w:p>
    <w:p w14:paraId="63B8009C" w14:textId="3CF2FA74" w:rsidR="00775439" w:rsidRDefault="00775439">
      <w:pPr>
        <w:spacing w:after="200"/>
        <w:jc w:val="both"/>
        <w:rPr>
          <w:rFonts w:ascii="Century Schoolbook" w:eastAsia="Century Schoolbook" w:hAnsi="Century Schoolbook" w:cs="Century Schoolbook"/>
          <w:sz w:val="22"/>
          <w:szCs w:val="22"/>
        </w:rPr>
      </w:pPr>
    </w:p>
    <w:p w14:paraId="507EFA33" w14:textId="77777777" w:rsidR="00BB002C" w:rsidRDefault="00BB002C">
      <w:pPr>
        <w:spacing w:after="200"/>
        <w:jc w:val="both"/>
        <w:rPr>
          <w:rFonts w:ascii="Century Schoolbook" w:eastAsia="Century Schoolbook" w:hAnsi="Century Schoolbook" w:cs="Century Schoolbook"/>
          <w:sz w:val="22"/>
          <w:szCs w:val="22"/>
        </w:rPr>
      </w:pPr>
    </w:p>
    <w:p w14:paraId="24FC52CA" w14:textId="77777777" w:rsidR="00775439" w:rsidRDefault="00641D97">
      <w:pPr>
        <w:numPr>
          <w:ilvl w:val="0"/>
          <w:numId w:val="1"/>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lastRenderedPageBreak/>
        <w:t>Meccanismi previsti per la revisione dell’intervento regolatorio</w:t>
      </w:r>
    </w:p>
    <w:p w14:paraId="7F00DB5B" w14:textId="77777777" w:rsidR="00775439" w:rsidRDefault="00775439">
      <w:pPr>
        <w:jc w:val="both"/>
        <w:rPr>
          <w:rFonts w:ascii="Century Schoolbook" w:eastAsia="Century Schoolbook" w:hAnsi="Century Schoolbook" w:cs="Century Schoolbook"/>
          <w:sz w:val="22"/>
          <w:szCs w:val="22"/>
        </w:rPr>
      </w:pPr>
    </w:p>
    <w:p w14:paraId="5EEC394D" w14:textId="77777777" w:rsidR="00775439" w:rsidRDefault="00641D97">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Non sono contemplati specifici meccanismi di revisione dell’articolato. Gli interventi che si dovessero rendere necessari per integrare l’impianto normativo potranno essere realizzati attrav</w:t>
      </w:r>
      <w:r>
        <w:rPr>
          <w:rFonts w:ascii="Century Schoolbook" w:eastAsia="Century Schoolbook" w:hAnsi="Century Schoolbook" w:cs="Century Schoolbook"/>
          <w:sz w:val="22"/>
          <w:szCs w:val="22"/>
        </w:rPr>
        <w:t>erso successive modificazioni normative o, nei casi in cui è previsto, attraverso provvedimenti di dettaglio demandati alla Giunta regionale.</w:t>
      </w:r>
    </w:p>
    <w:p w14:paraId="275F39EF" w14:textId="77777777" w:rsidR="00775439" w:rsidRDefault="00641D97">
      <w:pPr>
        <w:spacing w:before="20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0B3E3C13" w14:textId="77777777" w:rsidR="00775439" w:rsidRDefault="00641D97">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8</w:t>
      </w:r>
    </w:p>
    <w:p w14:paraId="6D936BDB" w14:textId="77777777" w:rsidR="00775439" w:rsidRDefault="00641D97">
      <w:pPr>
        <w:spacing w:line="276" w:lineRule="auto"/>
        <w:jc w:val="both"/>
        <w:rPr>
          <w:rFonts w:ascii="Century Schoolbook" w:eastAsia="Century Schoolbook" w:hAnsi="Century Schoolbook" w:cs="Century Schoolbook"/>
          <w:b/>
          <w:sz w:val="22"/>
          <w:szCs w:val="22"/>
        </w:rPr>
      </w:pPr>
      <w:r>
        <w:rPr>
          <w:rFonts w:ascii="Century Schoolbook" w:eastAsia="Century Schoolbook" w:hAnsi="Century Schoolbook" w:cs="Century Schoolbook"/>
          <w:b/>
          <w:sz w:val="22"/>
          <w:szCs w:val="22"/>
        </w:rPr>
        <w:t>Rispetto dei livelli mi</w:t>
      </w:r>
      <w:r>
        <w:rPr>
          <w:rFonts w:ascii="Century Schoolbook" w:eastAsia="Century Schoolbook" w:hAnsi="Century Schoolbook" w:cs="Century Schoolbook"/>
          <w:b/>
          <w:sz w:val="22"/>
          <w:szCs w:val="22"/>
        </w:rPr>
        <w:t>nimi di regolazione europea</w:t>
      </w:r>
    </w:p>
    <w:p w14:paraId="4B9DB149" w14:textId="77777777" w:rsidR="00775439" w:rsidRDefault="00641D97">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7BA719C1" w14:textId="77777777" w:rsidR="00775439" w:rsidRDefault="00641D97">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L’intervento regolatorio rispetta i livelli minimi di regolazione europea, non introducendo requisiti tecnici, obblighi e oneri di portata superiore rispetto a quanto già previsto.</w:t>
      </w:r>
    </w:p>
    <w:sectPr w:rsidR="00775439">
      <w:headerReference w:type="default" r:id="rId8"/>
      <w:footerReference w:type="default" r:id="rId9"/>
      <w:headerReference w:type="first" r:id="rId10"/>
      <w:pgSz w:w="11906" w:h="16838"/>
      <w:pgMar w:top="1417" w:right="1134" w:bottom="1134"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057EA" w14:textId="77777777" w:rsidR="00641D97" w:rsidRDefault="00641D97">
      <w:r>
        <w:separator/>
      </w:r>
    </w:p>
  </w:endnote>
  <w:endnote w:type="continuationSeparator" w:id="0">
    <w:p w14:paraId="6531919C" w14:textId="77777777" w:rsidR="00641D97" w:rsidRDefault="0064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E8E3" w14:textId="77777777" w:rsidR="00775439" w:rsidRDefault="00641D97">
    <w:pPr>
      <w:pBdr>
        <w:top w:val="nil"/>
        <w:left w:val="nil"/>
        <w:bottom w:val="nil"/>
        <w:right w:val="nil"/>
        <w:between w:val="nil"/>
      </w:pBdr>
      <w:tabs>
        <w:tab w:val="center" w:pos="4819"/>
        <w:tab w:val="right" w:pos="9638"/>
      </w:tabs>
      <w:jc w:val="right"/>
      <w:rPr>
        <w:rFonts w:ascii="Century Schoolbook" w:eastAsia="Century Schoolbook" w:hAnsi="Century Schoolbook" w:cs="Century Schoolbook"/>
        <w:color w:val="000000"/>
        <w:sz w:val="22"/>
        <w:szCs w:val="22"/>
      </w:rPr>
    </w:pPr>
    <w:r>
      <w:rPr>
        <w:rFonts w:ascii="Century Schoolbook" w:eastAsia="Century Schoolbook" w:hAnsi="Century Schoolbook" w:cs="Century Schoolbook"/>
        <w:color w:val="000000"/>
        <w:sz w:val="22"/>
        <w:szCs w:val="22"/>
      </w:rPr>
      <w:fldChar w:fldCharType="begin"/>
    </w:r>
    <w:r>
      <w:rPr>
        <w:rFonts w:ascii="Century Schoolbook" w:eastAsia="Century Schoolbook" w:hAnsi="Century Schoolbook" w:cs="Century Schoolbook"/>
        <w:color w:val="000000"/>
        <w:sz w:val="22"/>
        <w:szCs w:val="22"/>
      </w:rPr>
      <w:instrText>PAGE</w:instrText>
    </w:r>
    <w:r>
      <w:rPr>
        <w:rFonts w:ascii="Century Schoolbook" w:eastAsia="Century Schoolbook" w:hAnsi="Century Schoolbook" w:cs="Century Schoolbook"/>
        <w:color w:val="000000"/>
        <w:sz w:val="22"/>
        <w:szCs w:val="22"/>
      </w:rPr>
      <w:fldChar w:fldCharType="separate"/>
    </w:r>
    <w:r w:rsidR="00BB002C">
      <w:rPr>
        <w:rFonts w:ascii="Century Schoolbook" w:eastAsia="Century Schoolbook" w:hAnsi="Century Schoolbook" w:cs="Century Schoolbook"/>
        <w:noProof/>
        <w:color w:val="000000"/>
        <w:sz w:val="22"/>
        <w:szCs w:val="22"/>
      </w:rPr>
      <w:t>2</w:t>
    </w:r>
    <w:r>
      <w:rPr>
        <w:rFonts w:ascii="Century Schoolbook" w:eastAsia="Century Schoolbook" w:hAnsi="Century Schoolbook" w:cs="Century Schoolbook"/>
        <w:color w:val="000000"/>
        <w:sz w:val="22"/>
        <w:szCs w:val="22"/>
      </w:rPr>
      <w:fldChar w:fldCharType="end"/>
    </w:r>
  </w:p>
  <w:p w14:paraId="74362853" w14:textId="77777777" w:rsidR="00775439" w:rsidRDefault="00775439">
    <w:pPr>
      <w:pBdr>
        <w:top w:val="nil"/>
        <w:left w:val="nil"/>
        <w:bottom w:val="nil"/>
        <w:right w:val="nil"/>
        <w:between w:val="nil"/>
      </w:pBdr>
      <w:tabs>
        <w:tab w:val="center" w:pos="4819"/>
        <w:tab w:val="right" w:pos="9638"/>
      </w:tabs>
      <w:rPr>
        <w:rFonts w:ascii="Century Schoolbook" w:eastAsia="Century Schoolbook" w:hAnsi="Century Schoolbook" w:cs="Century Schoolbook"/>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2744B" w14:textId="77777777" w:rsidR="00641D97" w:rsidRDefault="00641D97">
      <w:r>
        <w:separator/>
      </w:r>
    </w:p>
  </w:footnote>
  <w:footnote w:type="continuationSeparator" w:id="0">
    <w:p w14:paraId="6AD352CC" w14:textId="77777777" w:rsidR="00641D97" w:rsidRDefault="00641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045BB" w14:textId="77777777" w:rsidR="00775439" w:rsidRDefault="00641D97">
    <w:pPr>
      <w:tabs>
        <w:tab w:val="left" w:pos="6490"/>
      </w:tabs>
      <w:rPr>
        <w:sz w:val="23"/>
        <w:szCs w:val="23"/>
      </w:rPr>
    </w:pPr>
    <w:r>
      <w:rPr>
        <w:i/>
        <w:noProof/>
        <w:color w:val="000000"/>
      </w:rPr>
      <w:drawing>
        <wp:anchor distT="0" distB="0" distL="114300" distR="114300" simplePos="0" relativeHeight="251658240" behindDoc="0" locked="0" layoutInCell="1" hidden="0" allowOverlap="1" wp14:anchorId="1EE7A149" wp14:editId="372330F5">
          <wp:simplePos x="0" y="0"/>
          <wp:positionH relativeFrom="margin">
            <wp:align>center</wp:align>
          </wp:positionH>
          <wp:positionV relativeFrom="page">
            <wp:posOffset>448944</wp:posOffset>
          </wp:positionV>
          <wp:extent cx="3002400" cy="1720800"/>
          <wp:effectExtent l="0" t="0" r="0" b="0"/>
          <wp:wrapNone/>
          <wp:docPr id="13" name="image1.png"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r>
      <w:rPr>
        <w:sz w:val="23"/>
        <w:szCs w:val="23"/>
      </w:rPr>
      <w:tab/>
    </w:r>
  </w:p>
  <w:p w14:paraId="691FFF4E" w14:textId="77777777" w:rsidR="00775439" w:rsidRDefault="00775439">
    <w:pPr>
      <w:tabs>
        <w:tab w:val="left" w:pos="6490"/>
      </w:tabs>
      <w:rPr>
        <w:sz w:val="23"/>
        <w:szCs w:val="23"/>
      </w:rPr>
    </w:pPr>
  </w:p>
  <w:p w14:paraId="0B925484" w14:textId="77777777" w:rsidR="00775439" w:rsidRDefault="00775439">
    <w:pPr>
      <w:tabs>
        <w:tab w:val="left" w:pos="6490"/>
      </w:tabs>
      <w:rPr>
        <w:sz w:val="23"/>
        <w:szCs w:val="23"/>
      </w:rPr>
    </w:pPr>
  </w:p>
  <w:p w14:paraId="07C10521" w14:textId="77777777" w:rsidR="00775439" w:rsidRDefault="00775439">
    <w:pPr>
      <w:tabs>
        <w:tab w:val="left" w:pos="6490"/>
      </w:tabs>
      <w:rPr>
        <w:sz w:val="23"/>
        <w:szCs w:val="23"/>
      </w:rPr>
    </w:pPr>
  </w:p>
  <w:p w14:paraId="12EE66CF" w14:textId="77777777" w:rsidR="00775439" w:rsidRDefault="00775439">
    <w:pPr>
      <w:tabs>
        <w:tab w:val="left" w:pos="6490"/>
      </w:tabs>
      <w:rPr>
        <w:sz w:val="23"/>
        <w:szCs w:val="23"/>
      </w:rPr>
    </w:pPr>
  </w:p>
  <w:p w14:paraId="5EEABFEE" w14:textId="77777777" w:rsidR="00775439" w:rsidRDefault="00775439">
    <w:pPr>
      <w:tabs>
        <w:tab w:val="left" w:pos="6490"/>
      </w:tabs>
      <w:rPr>
        <w:sz w:val="23"/>
        <w:szCs w:val="23"/>
      </w:rPr>
    </w:pPr>
  </w:p>
  <w:p w14:paraId="6ED1F828" w14:textId="77777777" w:rsidR="00775439" w:rsidRDefault="00775439">
    <w:pPr>
      <w:tabs>
        <w:tab w:val="left" w:pos="6490"/>
      </w:tabs>
      <w:rPr>
        <w:sz w:val="23"/>
        <w:szCs w:val="23"/>
      </w:rPr>
    </w:pPr>
  </w:p>
  <w:p w14:paraId="082A098D" w14:textId="77777777" w:rsidR="00775439" w:rsidRDefault="00775439">
    <w:pPr>
      <w:tabs>
        <w:tab w:val="left" w:pos="6490"/>
      </w:tabs>
      <w:rPr>
        <w:sz w:val="23"/>
        <w:szCs w:val="23"/>
      </w:rPr>
    </w:pPr>
  </w:p>
  <w:p w14:paraId="4FBD12CE" w14:textId="77777777" w:rsidR="00775439" w:rsidRDefault="00775439">
    <w:pPr>
      <w:jc w:val="center"/>
      <w:rPr>
        <w:sz w:val="23"/>
        <w:szCs w:val="23"/>
      </w:rPr>
    </w:pPr>
  </w:p>
  <w:p w14:paraId="23874599" w14:textId="77777777" w:rsidR="00775439" w:rsidRDefault="00775439">
    <w:pPr>
      <w:jc w:val="center"/>
      <w:rPr>
        <w:sz w:val="23"/>
        <w:szCs w:val="23"/>
      </w:rPr>
    </w:pPr>
  </w:p>
  <w:p w14:paraId="1785D37B" w14:textId="77777777" w:rsidR="00775439" w:rsidRDefault="00775439">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F613D" w14:textId="77777777" w:rsidR="00775439" w:rsidRDefault="00775439">
    <w:pPr>
      <w:pBdr>
        <w:top w:val="nil"/>
        <w:left w:val="nil"/>
        <w:bottom w:val="nil"/>
        <w:right w:val="nil"/>
        <w:between w:val="nil"/>
      </w:pBdr>
      <w:tabs>
        <w:tab w:val="center" w:pos="4819"/>
        <w:tab w:val="right" w:pos="9638"/>
      </w:tabs>
      <w:jc w:val="center"/>
      <w:rPr>
        <w:color w:val="000000"/>
      </w:rPr>
    </w:pPr>
  </w:p>
  <w:p w14:paraId="7C824077" w14:textId="77777777" w:rsidR="00775439" w:rsidRDefault="00775439">
    <w:pPr>
      <w:pBdr>
        <w:top w:val="nil"/>
        <w:left w:val="nil"/>
        <w:bottom w:val="nil"/>
        <w:right w:val="nil"/>
        <w:between w:val="nil"/>
      </w:pBdr>
      <w:tabs>
        <w:tab w:val="center" w:pos="4819"/>
        <w:tab w:val="right" w:pos="9638"/>
      </w:tabs>
      <w:jc w:val="center"/>
      <w:rPr>
        <w:color w:val="000000"/>
      </w:rPr>
    </w:pPr>
  </w:p>
  <w:p w14:paraId="2BF0173C" w14:textId="77777777" w:rsidR="00775439" w:rsidRDefault="00775439">
    <w:pPr>
      <w:pBdr>
        <w:top w:val="nil"/>
        <w:left w:val="nil"/>
        <w:bottom w:val="nil"/>
        <w:right w:val="nil"/>
        <w:between w:val="nil"/>
      </w:pBdr>
      <w:tabs>
        <w:tab w:val="center" w:pos="4819"/>
        <w:tab w:val="right" w:pos="9638"/>
      </w:tabs>
      <w:jc w:val="center"/>
      <w:rPr>
        <w:color w:val="000000"/>
      </w:rPr>
    </w:pPr>
  </w:p>
  <w:p w14:paraId="34B811F8" w14:textId="77777777" w:rsidR="00775439" w:rsidRDefault="00775439">
    <w:pPr>
      <w:pBdr>
        <w:top w:val="nil"/>
        <w:left w:val="nil"/>
        <w:bottom w:val="nil"/>
        <w:right w:val="nil"/>
        <w:between w:val="nil"/>
      </w:pBdr>
      <w:tabs>
        <w:tab w:val="center" w:pos="4819"/>
        <w:tab w:val="right" w:pos="9638"/>
      </w:tabs>
      <w:jc w:val="center"/>
      <w:rPr>
        <w:color w:val="000000"/>
      </w:rPr>
    </w:pPr>
  </w:p>
  <w:p w14:paraId="14962147" w14:textId="77777777" w:rsidR="00775439" w:rsidRDefault="00775439">
    <w:pPr>
      <w:pBdr>
        <w:top w:val="nil"/>
        <w:left w:val="nil"/>
        <w:bottom w:val="nil"/>
        <w:right w:val="nil"/>
        <w:between w:val="nil"/>
      </w:pBdr>
      <w:tabs>
        <w:tab w:val="center" w:pos="4819"/>
        <w:tab w:val="right" w:pos="9638"/>
      </w:tabs>
      <w:jc w:val="center"/>
      <w:rPr>
        <w:color w:val="000000"/>
      </w:rPr>
    </w:pPr>
  </w:p>
  <w:p w14:paraId="5E874D86" w14:textId="77777777" w:rsidR="00775439" w:rsidRDefault="00775439">
    <w:pPr>
      <w:pBdr>
        <w:top w:val="nil"/>
        <w:left w:val="nil"/>
        <w:bottom w:val="nil"/>
        <w:right w:val="nil"/>
        <w:between w:val="nil"/>
      </w:pBdr>
      <w:tabs>
        <w:tab w:val="center" w:pos="4819"/>
        <w:tab w:val="right" w:pos="9638"/>
      </w:tabs>
      <w:jc w:val="center"/>
      <w:rPr>
        <w:color w:val="000000"/>
      </w:rPr>
    </w:pPr>
  </w:p>
  <w:p w14:paraId="07B5F862" w14:textId="77777777" w:rsidR="00775439" w:rsidRDefault="00775439">
    <w:pPr>
      <w:pBdr>
        <w:top w:val="nil"/>
        <w:left w:val="nil"/>
        <w:bottom w:val="nil"/>
        <w:right w:val="nil"/>
        <w:between w:val="nil"/>
      </w:pBdr>
      <w:tabs>
        <w:tab w:val="center" w:pos="4819"/>
        <w:tab w:val="right" w:pos="9638"/>
      </w:tabs>
      <w:jc w:val="center"/>
      <w:rPr>
        <w:color w:val="000000"/>
      </w:rPr>
    </w:pPr>
  </w:p>
  <w:p w14:paraId="6B066DE3" w14:textId="77777777" w:rsidR="00775439" w:rsidRDefault="00775439">
    <w:pPr>
      <w:pBdr>
        <w:top w:val="nil"/>
        <w:left w:val="nil"/>
        <w:bottom w:val="nil"/>
        <w:right w:val="nil"/>
        <w:between w:val="nil"/>
      </w:pBdr>
      <w:tabs>
        <w:tab w:val="center" w:pos="4819"/>
        <w:tab w:val="right" w:pos="9638"/>
      </w:tabs>
      <w:jc w:val="center"/>
      <w:rPr>
        <w:color w:val="000000"/>
      </w:rPr>
    </w:pPr>
  </w:p>
  <w:p w14:paraId="70B296B2" w14:textId="77777777" w:rsidR="00775439" w:rsidRDefault="00775439">
    <w:pPr>
      <w:pBdr>
        <w:top w:val="nil"/>
        <w:left w:val="nil"/>
        <w:bottom w:val="nil"/>
        <w:right w:val="nil"/>
        <w:between w:val="nil"/>
      </w:pBdr>
      <w:tabs>
        <w:tab w:val="center" w:pos="4819"/>
        <w:tab w:val="right" w:pos="9638"/>
      </w:tabs>
      <w:jc w:val="center"/>
      <w:rPr>
        <w:color w:val="000000"/>
      </w:rPr>
    </w:pPr>
  </w:p>
  <w:p w14:paraId="0E4C26F9" w14:textId="77777777" w:rsidR="00775439" w:rsidRDefault="00641D97">
    <w:pPr>
      <w:pBdr>
        <w:top w:val="nil"/>
        <w:left w:val="nil"/>
        <w:bottom w:val="nil"/>
        <w:right w:val="nil"/>
        <w:between w:val="nil"/>
      </w:pBdr>
      <w:tabs>
        <w:tab w:val="center" w:pos="4819"/>
        <w:tab w:val="right" w:pos="9638"/>
      </w:tabs>
      <w:jc w:val="center"/>
      <w:rPr>
        <w:color w:val="000000"/>
      </w:rPr>
    </w:pPr>
    <w:r>
      <w:rPr>
        <w:i/>
        <w:noProof/>
        <w:color w:val="000000"/>
      </w:rPr>
      <w:drawing>
        <wp:anchor distT="0" distB="0" distL="114300" distR="114300" simplePos="0" relativeHeight="251659264" behindDoc="0" locked="0" layoutInCell="1" hidden="0" allowOverlap="1" wp14:anchorId="5C19ECC3" wp14:editId="699CD2CC">
          <wp:simplePos x="0" y="0"/>
          <wp:positionH relativeFrom="margin">
            <wp:align>center</wp:align>
          </wp:positionH>
          <wp:positionV relativeFrom="page">
            <wp:posOffset>448310</wp:posOffset>
          </wp:positionV>
          <wp:extent cx="3002400" cy="1720800"/>
          <wp:effectExtent l="0" t="0" r="0" b="0"/>
          <wp:wrapNone/>
          <wp:docPr id="12" name="image1.png"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C74F3"/>
    <w:multiLevelType w:val="multilevel"/>
    <w:tmpl w:val="BB88099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A135614"/>
    <w:multiLevelType w:val="multilevel"/>
    <w:tmpl w:val="186ADF6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7C33DC1"/>
    <w:multiLevelType w:val="multilevel"/>
    <w:tmpl w:val="CB1C7D5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BF246CE"/>
    <w:multiLevelType w:val="multilevel"/>
    <w:tmpl w:val="173A79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D6432CD"/>
    <w:multiLevelType w:val="multilevel"/>
    <w:tmpl w:val="4750453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4BD6891"/>
    <w:multiLevelType w:val="multilevel"/>
    <w:tmpl w:val="8674858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79BE4568"/>
    <w:multiLevelType w:val="multilevel"/>
    <w:tmpl w:val="B2B0912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2"/>
  </w:num>
  <w:num w:numId="4">
    <w:abstractNumId w:val="1"/>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39"/>
    <w:rsid w:val="00641D97"/>
    <w:rsid w:val="00775439"/>
    <w:rsid w:val="00BB00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097A"/>
  <w15:docId w15:val="{F7528BF3-24B5-4A07-B848-1BE82B52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92B6D"/>
  </w:style>
  <w:style w:type="paragraph" w:styleId="Titolo1">
    <w:name w:val="heading 1"/>
    <w:basedOn w:val="Normale"/>
    <w:link w:val="Titolo1Carattere"/>
    <w:uiPriority w:val="9"/>
    <w:qFormat/>
    <w:rsid w:val="00E94C63"/>
    <w:pPr>
      <w:keepNext/>
      <w:jc w:val="center"/>
      <w:outlineLvl w:val="0"/>
    </w:pPr>
    <w:rPr>
      <w:i/>
      <w:iCs/>
      <w:kern w:val="36"/>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iPriority w:val="99"/>
    <w:semiHidden/>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character" w:customStyle="1" w:styleId="MSGENFONTSTYLENAMETEMPLATEROLENUMBERMSGENFONTSTYLENAMEBYROLETEXT2">
    <w:name w:val="MSG_EN_FONT_STYLE_NAME_TEMPLATE_ROLE_NUMBER MSG_EN_FONT_STYLE_NAME_BY_ROLE_TEXT 2_"/>
    <w:basedOn w:val="Carpredefinitoparagrafo"/>
    <w:rsid w:val="00DD09D8"/>
    <w:rPr>
      <w:b w:val="0"/>
      <w:bCs w:val="0"/>
      <w:i w:val="0"/>
      <w:iCs w:val="0"/>
      <w:smallCaps w:val="0"/>
      <w:strike w:val="0"/>
      <w:u w:val="none"/>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rsid w:val="00DD09D8"/>
    <w:rPr>
      <w:rFonts w:ascii="Times New Roman" w:eastAsia="Times New Roman" w:hAnsi="Times New Roman" w:cs="Times New Roman"/>
      <w:b w:val="0"/>
      <w:bCs w:val="0"/>
      <w:i w:val="0"/>
      <w:iCs w:val="0"/>
      <w:smallCaps w:val="0"/>
      <w:strike w:val="0"/>
      <w:color w:val="1C1C1C"/>
      <w:spacing w:val="0"/>
      <w:w w:val="100"/>
      <w:position w:val="0"/>
      <w:sz w:val="24"/>
      <w:szCs w:val="24"/>
      <w:u w:val="none"/>
      <w:lang w:val="it-IT" w:eastAsia="it-IT" w:bidi="it-IT"/>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YS4pIQGJS+xjqxoyevxIcl1Yag==">AMUW2mVjKPruc94DoJ3x0td/Yys0C25kpdjBkYqv/iA4jB+Zqxat1zr3+Hg77DkvNqZsG+3pFGz6MuZlug5+7gMX4ywO6a4r9UahUqGKV7veOrf5aMyU+Kc=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2766</Words>
  <Characters>15771</Characters>
  <Application>Microsoft Office Word</Application>
  <DocSecurity>0</DocSecurity>
  <Lines>131</Lines>
  <Paragraphs>36</Paragraphs>
  <ScaleCrop>false</ScaleCrop>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Mocerino Carmine Staff</dc:creator>
  <cp:lastModifiedBy>Ciampi Vincenzo Staff</cp:lastModifiedBy>
  <cp:revision>2</cp:revision>
  <dcterms:created xsi:type="dcterms:W3CDTF">2021-01-29T15:26:00Z</dcterms:created>
  <dcterms:modified xsi:type="dcterms:W3CDTF">2022-06-15T10:19:00Z</dcterms:modified>
</cp:coreProperties>
</file>