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right"/>
        <w:rPr/>
      </w:pPr>
      <w:r w:rsidDel="00000000" w:rsidR="00000000" w:rsidRPr="00000000">
        <w:rPr>
          <w:rtl w:val="0"/>
        </w:rPr>
      </w:r>
    </w:p>
    <w:p w:rsidR="00000000" w:rsidDel="00000000" w:rsidP="00000000" w:rsidRDefault="00000000" w:rsidRPr="00000000" w14:paraId="00000002">
      <w:pPr>
        <w:spacing w:line="360" w:lineRule="auto"/>
        <w:jc w:val="center"/>
        <w:rPr>
          <w:smallCaps w:val="1"/>
        </w:rPr>
      </w:pPr>
      <w:r w:rsidDel="00000000" w:rsidR="00000000" w:rsidRPr="00000000">
        <w:rPr>
          <w:rtl w:val="0"/>
        </w:rPr>
      </w:r>
    </w:p>
    <w:p w:rsidR="00000000" w:rsidDel="00000000" w:rsidP="00000000" w:rsidRDefault="00000000" w:rsidRPr="00000000" w14:paraId="00000003">
      <w:pPr>
        <w:spacing w:line="360" w:lineRule="auto"/>
        <w:jc w:val="center"/>
        <w:rPr>
          <w:smallCaps w:val="1"/>
        </w:rPr>
      </w:pPr>
      <w:r w:rsidDel="00000000" w:rsidR="00000000" w:rsidRPr="00000000">
        <w:rPr>
          <w:rtl w:val="0"/>
        </w:rPr>
      </w:r>
    </w:p>
    <w:p w:rsidR="00000000" w:rsidDel="00000000" w:rsidP="00000000" w:rsidRDefault="00000000" w:rsidRPr="00000000" w14:paraId="00000004">
      <w:pPr>
        <w:spacing w:line="360" w:lineRule="auto"/>
        <w:jc w:val="center"/>
        <w:rPr>
          <w:smallCaps w:val="1"/>
        </w:rPr>
      </w:pPr>
      <w:r w:rsidDel="00000000" w:rsidR="00000000" w:rsidRPr="00000000">
        <w:rPr>
          <w:rtl w:val="0"/>
        </w:rPr>
      </w:r>
    </w:p>
    <w:p w:rsidR="00000000" w:rsidDel="00000000" w:rsidP="00000000" w:rsidRDefault="00000000" w:rsidRPr="00000000" w14:paraId="00000005">
      <w:pPr>
        <w:spacing w:line="360" w:lineRule="auto"/>
        <w:jc w:val="center"/>
        <w:rPr>
          <w:smallCaps w:val="1"/>
        </w:rPr>
      </w:pPr>
      <w:r w:rsidDel="00000000" w:rsidR="00000000" w:rsidRPr="00000000">
        <w:rPr>
          <w:rtl w:val="0"/>
        </w:rPr>
      </w:r>
    </w:p>
    <w:p w:rsidR="00000000" w:rsidDel="00000000" w:rsidP="00000000" w:rsidRDefault="00000000" w:rsidRPr="00000000" w14:paraId="00000006">
      <w:pPr>
        <w:jc w:val="center"/>
        <w:rPr>
          <w:smallCaps w:val="1"/>
          <w:sz w:val="28"/>
          <w:szCs w:val="28"/>
        </w:rPr>
      </w:pPr>
      <w:r w:rsidDel="00000000" w:rsidR="00000000" w:rsidRPr="00000000">
        <w:rPr>
          <w:smallCaps w:val="1"/>
          <w:sz w:val="28"/>
          <w:szCs w:val="28"/>
          <w:rtl w:val="0"/>
        </w:rPr>
        <w:t xml:space="preserve">Proposta di Legge</w:t>
      </w:r>
    </w:p>
    <w:p w:rsidR="00000000" w:rsidDel="00000000" w:rsidP="00000000" w:rsidRDefault="00000000" w:rsidRPr="00000000" w14:paraId="00000007">
      <w:pPr>
        <w:jc w:val="center"/>
        <w:rPr>
          <w:smallCaps w:val="1"/>
          <w:sz w:val="28"/>
          <w:szCs w:val="28"/>
        </w:rPr>
      </w:pPr>
      <w:r w:rsidDel="00000000" w:rsidR="00000000" w:rsidRPr="00000000">
        <w:rPr>
          <w:rtl w:val="0"/>
        </w:rPr>
      </w:r>
    </w:p>
    <w:p w:rsidR="00000000" w:rsidDel="00000000" w:rsidP="00000000" w:rsidRDefault="00000000" w:rsidRPr="00000000" w14:paraId="00000008">
      <w:pPr>
        <w:jc w:val="center"/>
        <w:rPr>
          <w:sz w:val="28"/>
          <w:szCs w:val="28"/>
        </w:rPr>
      </w:pPr>
      <w:r w:rsidDel="00000000" w:rsidR="00000000" w:rsidRPr="00000000">
        <w:rPr>
          <w:smallCaps w:val="1"/>
          <w:sz w:val="28"/>
          <w:szCs w:val="28"/>
          <w:rtl w:val="0"/>
        </w:rPr>
        <w:t xml:space="preserve">“Disposizioni in materia di circolazione dei crediti fiscali per l’efficientamento energetico del patrimonio edilizio</w:t>
      </w:r>
      <w:r w:rsidDel="00000000" w:rsidR="00000000" w:rsidRPr="00000000">
        <w:rPr>
          <w:sz w:val="28"/>
          <w:szCs w:val="28"/>
          <w:rtl w:val="0"/>
        </w:rPr>
        <w:t xml:space="preserve">”</w:t>
      </w:r>
    </w:p>
    <w:p w:rsidR="00000000" w:rsidDel="00000000" w:rsidP="00000000" w:rsidRDefault="00000000" w:rsidRPr="00000000" w14:paraId="00000009">
      <w:pPr>
        <w:spacing w:line="240" w:lineRule="auto"/>
        <w:jc w:val="center"/>
        <w:rPr>
          <w:smallCaps w:val="1"/>
        </w:rPr>
      </w:pPr>
      <w:r w:rsidDel="00000000" w:rsidR="00000000" w:rsidRPr="00000000">
        <w:rPr>
          <w:rtl w:val="0"/>
        </w:rPr>
      </w:r>
    </w:p>
    <w:p w:rsidR="00000000" w:rsidDel="00000000" w:rsidP="00000000" w:rsidRDefault="00000000" w:rsidRPr="00000000" w14:paraId="0000000A">
      <w:pPr>
        <w:jc w:val="center"/>
        <w:rPr/>
      </w:pPr>
      <w:r w:rsidDel="00000000" w:rsidR="00000000" w:rsidRPr="00000000">
        <w:rPr>
          <w:rtl w:val="0"/>
        </w:rPr>
      </w:r>
    </w:p>
    <w:p w:rsidR="00000000" w:rsidDel="00000000" w:rsidP="00000000" w:rsidRDefault="00000000" w:rsidRPr="00000000" w14:paraId="0000000B">
      <w:pPr>
        <w:jc w:val="center"/>
        <w:rPr/>
      </w:pPr>
      <w:r w:rsidDel="00000000" w:rsidR="00000000" w:rsidRPr="00000000">
        <w:rPr>
          <w:rtl w:val="0"/>
        </w:rPr>
      </w:r>
    </w:p>
    <w:p w:rsidR="00000000" w:rsidDel="00000000" w:rsidP="00000000" w:rsidRDefault="00000000" w:rsidRPr="00000000" w14:paraId="0000000C">
      <w:pPr>
        <w:jc w:val="center"/>
        <w:rPr/>
      </w:pPr>
      <w:r w:rsidDel="00000000" w:rsidR="00000000" w:rsidRPr="00000000">
        <w:rPr>
          <w:rtl w:val="0"/>
        </w:rPr>
      </w:r>
    </w:p>
    <w:p w:rsidR="00000000" w:rsidDel="00000000" w:rsidP="00000000" w:rsidRDefault="00000000" w:rsidRPr="00000000" w14:paraId="0000000D">
      <w:pPr>
        <w:jc w:val="center"/>
        <w:rPr/>
      </w:pPr>
      <w:r w:rsidDel="00000000" w:rsidR="00000000" w:rsidRPr="00000000">
        <w:rPr>
          <w:rtl w:val="0"/>
        </w:rPr>
      </w:r>
    </w:p>
    <w:p w:rsidR="00000000" w:rsidDel="00000000" w:rsidP="00000000" w:rsidRDefault="00000000" w:rsidRPr="00000000" w14:paraId="0000000E">
      <w:pPr>
        <w:jc w:val="center"/>
        <w:rPr/>
      </w:pPr>
      <w:r w:rsidDel="00000000" w:rsidR="00000000" w:rsidRPr="00000000">
        <w:rPr>
          <w:rtl w:val="0"/>
        </w:rPr>
      </w:r>
    </w:p>
    <w:p w:rsidR="00000000" w:rsidDel="00000000" w:rsidP="00000000" w:rsidRDefault="00000000" w:rsidRPr="00000000" w14:paraId="0000000F">
      <w:pPr>
        <w:spacing w:line="360" w:lineRule="auto"/>
        <w:jc w:val="center"/>
        <w:rPr>
          <w:smallCaps w:val="1"/>
        </w:rPr>
      </w:pPr>
      <w:r w:rsidDel="00000000" w:rsidR="00000000" w:rsidRPr="00000000">
        <w:rPr>
          <w:rtl w:val="0"/>
        </w:rPr>
      </w:r>
    </w:p>
    <w:p w:rsidR="00000000" w:rsidDel="00000000" w:rsidP="00000000" w:rsidRDefault="00000000" w:rsidRPr="00000000" w14:paraId="00000010">
      <w:pPr>
        <w:spacing w:line="360" w:lineRule="auto"/>
        <w:jc w:val="center"/>
        <w:rPr>
          <w:smallCaps w:val="1"/>
        </w:rPr>
      </w:pPr>
      <w:r w:rsidDel="00000000" w:rsidR="00000000" w:rsidRPr="00000000">
        <w:rPr>
          <w:rtl w:val="0"/>
        </w:rPr>
      </w:r>
    </w:p>
    <w:p w:rsidR="00000000" w:rsidDel="00000000" w:rsidP="00000000" w:rsidRDefault="00000000" w:rsidRPr="00000000" w14:paraId="00000011">
      <w:pPr>
        <w:spacing w:line="360" w:lineRule="auto"/>
        <w:jc w:val="center"/>
        <w:rPr>
          <w:smallCaps w:val="1"/>
        </w:rPr>
      </w:pPr>
      <w:r w:rsidDel="00000000" w:rsidR="00000000" w:rsidRPr="00000000">
        <w:rPr>
          <w:rtl w:val="0"/>
        </w:rPr>
      </w:r>
    </w:p>
    <w:p w:rsidR="00000000" w:rsidDel="00000000" w:rsidP="00000000" w:rsidRDefault="00000000" w:rsidRPr="00000000" w14:paraId="00000012">
      <w:pPr>
        <w:spacing w:line="360" w:lineRule="auto"/>
        <w:jc w:val="center"/>
        <w:rPr>
          <w:smallCaps w:val="1"/>
        </w:rPr>
      </w:pPr>
      <w:r w:rsidDel="00000000" w:rsidR="00000000" w:rsidRPr="00000000">
        <w:rPr>
          <w:rtl w:val="0"/>
        </w:rPr>
      </w:r>
    </w:p>
    <w:p w:rsidR="00000000" w:rsidDel="00000000" w:rsidP="00000000" w:rsidRDefault="00000000" w:rsidRPr="00000000" w14:paraId="00000013">
      <w:pPr>
        <w:spacing w:line="360" w:lineRule="auto"/>
        <w:jc w:val="center"/>
        <w:rPr>
          <w:smallCaps w:val="1"/>
        </w:rPr>
      </w:pPr>
      <w:r w:rsidDel="00000000" w:rsidR="00000000" w:rsidRPr="00000000">
        <w:rPr>
          <w:rtl w:val="0"/>
        </w:rPr>
      </w:r>
    </w:p>
    <w:p w:rsidR="00000000" w:rsidDel="00000000" w:rsidP="00000000" w:rsidRDefault="00000000" w:rsidRPr="00000000" w14:paraId="00000014">
      <w:pPr>
        <w:spacing w:line="360" w:lineRule="auto"/>
        <w:jc w:val="center"/>
        <w:rPr>
          <w:smallCaps w:val="1"/>
        </w:rPr>
      </w:pPr>
      <w:r w:rsidDel="00000000" w:rsidR="00000000" w:rsidRPr="00000000">
        <w:rPr>
          <w:rtl w:val="0"/>
        </w:rPr>
      </w:r>
    </w:p>
    <w:p w:rsidR="00000000" w:rsidDel="00000000" w:rsidP="00000000" w:rsidRDefault="00000000" w:rsidRPr="00000000" w14:paraId="00000015">
      <w:pPr>
        <w:spacing w:line="360" w:lineRule="auto"/>
        <w:jc w:val="center"/>
        <w:rPr>
          <w:smallCaps w:val="1"/>
        </w:rPr>
      </w:pPr>
      <w:r w:rsidDel="00000000" w:rsidR="00000000" w:rsidRPr="00000000">
        <w:rPr>
          <w:rtl w:val="0"/>
        </w:rPr>
      </w:r>
    </w:p>
    <w:p w:rsidR="00000000" w:rsidDel="00000000" w:rsidP="00000000" w:rsidRDefault="00000000" w:rsidRPr="00000000" w14:paraId="00000016">
      <w:pPr>
        <w:spacing w:line="360" w:lineRule="auto"/>
        <w:jc w:val="center"/>
        <w:rPr>
          <w:smallCaps w:val="1"/>
        </w:rPr>
      </w:pPr>
      <w:r w:rsidDel="00000000" w:rsidR="00000000" w:rsidRPr="00000000">
        <w:rPr>
          <w:rtl w:val="0"/>
        </w:rPr>
      </w:r>
    </w:p>
    <w:p w:rsidR="00000000" w:rsidDel="00000000" w:rsidP="00000000" w:rsidRDefault="00000000" w:rsidRPr="00000000" w14:paraId="00000017">
      <w:pPr>
        <w:spacing w:line="360" w:lineRule="auto"/>
        <w:jc w:val="center"/>
        <w:rPr>
          <w:smallCaps w:val="1"/>
        </w:rPr>
      </w:pPr>
      <w:r w:rsidDel="00000000" w:rsidR="00000000" w:rsidRPr="00000000">
        <w:rPr>
          <w:rtl w:val="0"/>
        </w:rPr>
      </w:r>
    </w:p>
    <w:p w:rsidR="00000000" w:rsidDel="00000000" w:rsidP="00000000" w:rsidRDefault="00000000" w:rsidRPr="00000000" w14:paraId="00000018">
      <w:pPr>
        <w:spacing w:line="360" w:lineRule="auto"/>
        <w:rPr>
          <w:smallCaps w:val="1"/>
        </w:rPr>
      </w:pPr>
      <w:r w:rsidDel="00000000" w:rsidR="00000000" w:rsidRPr="00000000">
        <w:rPr>
          <w:rtl w:val="0"/>
        </w:rPr>
      </w:r>
    </w:p>
    <w:p w:rsidR="00000000" w:rsidDel="00000000" w:rsidP="00000000" w:rsidRDefault="00000000" w:rsidRPr="00000000" w14:paraId="00000019">
      <w:pPr>
        <w:spacing w:line="360" w:lineRule="auto"/>
        <w:jc w:val="center"/>
        <w:rPr>
          <w:smallCaps w:val="1"/>
        </w:rPr>
      </w:pPr>
      <w:r w:rsidDel="00000000" w:rsidR="00000000" w:rsidRPr="00000000">
        <w:rPr>
          <w:smallCaps w:val="1"/>
          <w:rtl w:val="0"/>
        </w:rPr>
        <w:t xml:space="preserve">Scheda AIR</w:t>
      </w:r>
    </w:p>
    <w:p w:rsidR="00000000" w:rsidDel="00000000" w:rsidP="00000000" w:rsidRDefault="00000000" w:rsidRPr="00000000" w14:paraId="0000001A">
      <w:pPr>
        <w:spacing w:line="360" w:lineRule="auto"/>
        <w:jc w:val="center"/>
        <w:rPr>
          <w:smallCaps w:val="1"/>
        </w:rPr>
      </w:pPr>
      <w:r w:rsidDel="00000000" w:rsidR="00000000" w:rsidRPr="00000000">
        <w:rPr>
          <w:smallCaps w:val="1"/>
          <w:rtl w:val="0"/>
        </w:rPr>
        <w:t xml:space="preserve">Analisi di Impatto della Regolamentazione</w:t>
      </w:r>
    </w:p>
    <w:p w:rsidR="00000000" w:rsidDel="00000000" w:rsidP="00000000" w:rsidRDefault="00000000" w:rsidRPr="00000000" w14:paraId="0000001B">
      <w:pPr>
        <w:spacing w:after="160" w:line="259" w:lineRule="auto"/>
        <w:rPr>
          <w:smallCaps w:val="1"/>
        </w:rPr>
      </w:pPr>
      <w:r w:rsidDel="00000000" w:rsidR="00000000" w:rsidRPr="00000000">
        <w:br w:type="page"/>
      </w:r>
      <w:r w:rsidDel="00000000" w:rsidR="00000000" w:rsidRPr="00000000">
        <w:rPr>
          <w:rtl w:val="0"/>
        </w:rPr>
      </w:r>
    </w:p>
    <w:p w:rsidR="00000000" w:rsidDel="00000000" w:rsidP="00000000" w:rsidRDefault="00000000" w:rsidRPr="00000000" w14:paraId="0000001C">
      <w:pPr>
        <w:jc w:val="both"/>
        <w:rPr/>
      </w:pPr>
      <w:r w:rsidDel="00000000" w:rsidR="00000000" w:rsidRPr="00000000">
        <w:rPr>
          <w:b w:val="1"/>
          <w:rtl w:val="0"/>
        </w:rPr>
        <w:t xml:space="preserve">SOMMARIO</w:t>
      </w:r>
      <w:r w:rsidDel="00000000" w:rsidR="00000000" w:rsidRPr="00000000">
        <w:rPr>
          <w:rtl w:val="0"/>
        </w:rPr>
      </w:r>
    </w:p>
    <w:p w:rsidR="00000000" w:rsidDel="00000000" w:rsidP="00000000" w:rsidRDefault="00000000" w:rsidRPr="00000000" w14:paraId="0000001D">
      <w:pPr>
        <w:spacing w:after="240" w:before="240" w:line="276" w:lineRule="auto"/>
        <w:jc w:val="both"/>
        <w:rPr/>
      </w:pPr>
      <w:r w:rsidDel="00000000" w:rsidR="00000000" w:rsidRPr="00000000">
        <w:rPr>
          <w:rtl w:val="0"/>
        </w:rPr>
        <w:t xml:space="preserve">SEZIONE 1 - Contesto e obiettivi dell’intervento di regolamentazione</w:t>
      </w:r>
    </w:p>
    <w:p w:rsidR="00000000" w:rsidDel="00000000" w:rsidP="00000000" w:rsidRDefault="00000000" w:rsidRPr="00000000" w14:paraId="0000001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i w:val="1"/>
          <w:smallCaps w:val="0"/>
          <w:strike w:val="0"/>
          <w:color w:val="000000"/>
          <w:shd w:fill="auto" w:val="clear"/>
          <w:vertAlign w:val="baseline"/>
        </w:rPr>
      </w:pPr>
      <w:r w:rsidDel="00000000" w:rsidR="00000000" w:rsidRPr="00000000">
        <w:rPr>
          <w:i w:val="1"/>
          <w:smallCaps w:val="0"/>
          <w:strike w:val="0"/>
          <w:color w:val="000000"/>
          <w:u w:val="none"/>
          <w:shd w:fill="auto" w:val="clear"/>
          <w:vertAlign w:val="baseline"/>
          <w:rtl w:val="0"/>
        </w:rPr>
        <w:t xml:space="preserve">La rappresentazione del problema da risolvere e delle criticità constatate, anche con riferimento al contesto internazionale ed europeo, nonché delle esigenze sociali ed economiche considerate</w:t>
      </w: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i w:val="1"/>
          <w:smallCaps w:val="0"/>
          <w:strike w:val="0"/>
          <w:color w:val="000000"/>
          <w:shd w:fill="auto" w:val="clear"/>
          <w:vertAlign w:val="baseline"/>
        </w:rPr>
      </w:pPr>
      <w:r w:rsidDel="00000000" w:rsidR="00000000" w:rsidRPr="00000000">
        <w:rPr>
          <w:i w:val="1"/>
          <w:smallCaps w:val="0"/>
          <w:strike w:val="0"/>
          <w:color w:val="000000"/>
          <w:u w:val="none"/>
          <w:shd w:fill="auto" w:val="clear"/>
          <w:vertAlign w:val="baseline"/>
          <w:rtl w:val="0"/>
        </w:rPr>
        <w:t xml:space="preserve">Indicazione degli obiettivi perseguiti con l’intervento normativo</w:t>
      </w: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i w:val="1"/>
          <w:smallCaps w:val="0"/>
          <w:strike w:val="0"/>
          <w:color w:val="000000"/>
          <w:shd w:fill="auto" w:val="clear"/>
          <w:vertAlign w:val="baseline"/>
        </w:rPr>
      </w:pPr>
      <w:r w:rsidDel="00000000" w:rsidR="00000000" w:rsidRPr="00000000">
        <w:rPr>
          <w:i w:val="1"/>
          <w:smallCaps w:val="0"/>
          <w:strike w:val="0"/>
          <w:color w:val="000000"/>
          <w:u w:val="none"/>
          <w:shd w:fill="auto" w:val="clear"/>
          <w:vertAlign w:val="baseline"/>
          <w:rtl w:val="0"/>
        </w:rPr>
        <w:t xml:space="preserve">Descrizione degli indicatori che consentono di verificare il grado di raggiungimento degli obiettivi indicati e di monitorare l’attuazione dell’intervento nell’ambito della VIR</w:t>
      </w: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40" w:before="0" w:line="276" w:lineRule="auto"/>
        <w:ind w:left="360" w:right="0" w:hanging="360"/>
        <w:jc w:val="both"/>
        <w:rPr>
          <w:i w:val="1"/>
          <w:smallCaps w:val="0"/>
          <w:strike w:val="0"/>
          <w:color w:val="000000"/>
          <w:shd w:fill="auto" w:val="clear"/>
          <w:vertAlign w:val="baseline"/>
        </w:rPr>
      </w:pPr>
      <w:r w:rsidDel="00000000" w:rsidR="00000000" w:rsidRPr="00000000">
        <w:rPr>
          <w:i w:val="1"/>
          <w:smallCaps w:val="0"/>
          <w:strike w:val="0"/>
          <w:color w:val="000000"/>
          <w:u w:val="none"/>
          <w:shd w:fill="auto" w:val="clear"/>
          <w:vertAlign w:val="baseline"/>
          <w:rtl w:val="0"/>
        </w:rPr>
        <w:t xml:space="preserve">Indicazione delle categorie dei soggetti, pubblici e privati, destinatari dei principali effetti dell’intervento regolatorio</w:t>
      </w:r>
      <w:r w:rsidDel="00000000" w:rsidR="00000000" w:rsidRPr="00000000">
        <w:rPr>
          <w:rtl w:val="0"/>
        </w:rPr>
      </w:r>
    </w:p>
    <w:p w:rsidR="00000000" w:rsidDel="00000000" w:rsidP="00000000" w:rsidRDefault="00000000" w:rsidRPr="00000000" w14:paraId="00000022">
      <w:pPr>
        <w:spacing w:after="240" w:line="276" w:lineRule="auto"/>
        <w:jc w:val="both"/>
        <w:rPr/>
      </w:pPr>
      <w:r w:rsidDel="00000000" w:rsidR="00000000" w:rsidRPr="00000000">
        <w:rPr>
          <w:rtl w:val="0"/>
        </w:rPr>
        <w:t xml:space="preserve">SEZIONE 2 - Procedure di consultazione precedenti l’intervento</w:t>
      </w:r>
    </w:p>
    <w:p w:rsidR="00000000" w:rsidDel="00000000" w:rsidP="00000000" w:rsidRDefault="00000000" w:rsidRPr="00000000" w14:paraId="00000023">
      <w:pPr>
        <w:spacing w:after="240" w:line="276" w:lineRule="auto"/>
        <w:jc w:val="both"/>
        <w:rPr/>
      </w:pPr>
      <w:r w:rsidDel="00000000" w:rsidR="00000000" w:rsidRPr="00000000">
        <w:rPr>
          <w:rtl w:val="0"/>
        </w:rPr>
        <w:t xml:space="preserve">SEZIONE 3 - Valutazione dell’opzione di non intervento di regolamentazione (opzione zero)</w:t>
      </w:r>
    </w:p>
    <w:p w:rsidR="00000000" w:rsidDel="00000000" w:rsidP="00000000" w:rsidRDefault="00000000" w:rsidRPr="00000000" w14:paraId="00000024">
      <w:pPr>
        <w:spacing w:after="240" w:line="276" w:lineRule="auto"/>
        <w:jc w:val="both"/>
        <w:rPr/>
      </w:pPr>
      <w:r w:rsidDel="00000000" w:rsidR="00000000" w:rsidRPr="00000000">
        <w:rPr>
          <w:rtl w:val="0"/>
        </w:rPr>
        <w:t xml:space="preserve">SEZIONE 4 - Opzioni alternative all’intervento regolatorio</w:t>
      </w:r>
    </w:p>
    <w:p w:rsidR="00000000" w:rsidDel="00000000" w:rsidP="00000000" w:rsidRDefault="00000000" w:rsidRPr="00000000" w14:paraId="00000025">
      <w:pPr>
        <w:spacing w:after="240" w:line="276" w:lineRule="auto"/>
        <w:jc w:val="both"/>
        <w:rPr/>
      </w:pPr>
      <w:r w:rsidDel="00000000" w:rsidR="00000000" w:rsidRPr="00000000">
        <w:rPr>
          <w:rtl w:val="0"/>
        </w:rPr>
        <w:t xml:space="preserve">SEZIONE 5 - Giustificazione dell’opzione regolatoria proposta e valutazione degli oneri amministrativi e dell’impatto sulle PMI</w:t>
      </w:r>
    </w:p>
    <w:p w:rsidR="00000000" w:rsidDel="00000000" w:rsidP="00000000" w:rsidRDefault="00000000" w:rsidRPr="00000000" w14:paraId="0000002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i w:val="1"/>
          <w:smallCaps w:val="0"/>
          <w:strike w:val="0"/>
          <w:color w:val="000000"/>
          <w:shd w:fill="auto" w:val="clear"/>
          <w:vertAlign w:val="baseline"/>
        </w:rPr>
      </w:pPr>
      <w:r w:rsidDel="00000000" w:rsidR="00000000" w:rsidRPr="00000000">
        <w:rPr>
          <w:i w:val="1"/>
          <w:smallCaps w:val="0"/>
          <w:strike w:val="0"/>
          <w:color w:val="000000"/>
          <w:u w:val="none"/>
          <w:shd w:fill="auto" w:val="clear"/>
          <w:vertAlign w:val="baseline"/>
          <w:rtl w:val="0"/>
        </w:rPr>
        <w:t xml:space="preserve">Svantaggi e vantaggi dell’opzione prescelta per i destinatari diretti e indiretti</w:t>
      </w: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i w:val="1"/>
          <w:smallCaps w:val="0"/>
          <w:strike w:val="0"/>
          <w:color w:val="000000"/>
          <w:shd w:fill="auto" w:val="clear"/>
          <w:vertAlign w:val="baseline"/>
        </w:rPr>
      </w:pPr>
      <w:r w:rsidDel="00000000" w:rsidR="00000000" w:rsidRPr="00000000">
        <w:rPr>
          <w:i w:val="1"/>
          <w:smallCaps w:val="0"/>
          <w:strike w:val="0"/>
          <w:color w:val="000000"/>
          <w:u w:val="none"/>
          <w:shd w:fill="auto" w:val="clear"/>
          <w:vertAlign w:val="baseline"/>
          <w:rtl w:val="0"/>
        </w:rPr>
        <w:t xml:space="preserve">Individuazione e stima degli effetti dell’opzione prescelta sulle micro, piccole e medie imprese</w:t>
      </w: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40" w:before="0" w:line="276" w:lineRule="auto"/>
        <w:ind w:left="360" w:right="0" w:hanging="360"/>
        <w:jc w:val="both"/>
        <w:rPr>
          <w:i w:val="1"/>
        </w:rPr>
      </w:pPr>
      <w:r w:rsidDel="00000000" w:rsidR="00000000" w:rsidRPr="00000000">
        <w:rPr>
          <w:i w:val="1"/>
          <w:rtl w:val="0"/>
        </w:rPr>
        <w:t xml:space="preserve">Indicazione e stima degli oneri informativi e dei relativi costi amministrativi, introdotti o eliminati a carico di cittadini e imprese. Per onere informativo si intende qualunque tipologia di adempimento comportante raccolta, elaborazione, trasmissione, conservazione e produzione di informazioni, comunicazioni e documenti alla pubblica amministrazione</w:t>
      </w:r>
    </w:p>
    <w:p w:rsidR="00000000" w:rsidDel="00000000" w:rsidP="00000000" w:rsidRDefault="00000000" w:rsidRPr="00000000" w14:paraId="00000029">
      <w:pPr>
        <w:spacing w:after="240" w:line="276" w:lineRule="auto"/>
        <w:jc w:val="both"/>
        <w:rPr/>
      </w:pPr>
      <w:r w:rsidDel="00000000" w:rsidR="00000000" w:rsidRPr="00000000">
        <w:rPr>
          <w:rtl w:val="0"/>
        </w:rPr>
        <w:t xml:space="preserve">SEZIONE 6 - Incidenza sul corretto funzionamento concorrenziale del mercato e sulla competitività regionale, nonché sulle politiche giovanili</w:t>
      </w:r>
    </w:p>
    <w:p w:rsidR="00000000" w:rsidDel="00000000" w:rsidP="00000000" w:rsidRDefault="00000000" w:rsidRPr="00000000" w14:paraId="0000002A">
      <w:pPr>
        <w:spacing w:after="240" w:line="276" w:lineRule="auto"/>
        <w:jc w:val="both"/>
        <w:rPr/>
      </w:pPr>
      <w:r w:rsidDel="00000000" w:rsidR="00000000" w:rsidRPr="00000000">
        <w:rPr>
          <w:rtl w:val="0"/>
        </w:rPr>
        <w:t xml:space="preserve">SEZIONE 7 - Modalità attuative dell’intervento di regolamentazione</w:t>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i w:val="1"/>
          <w:smallCaps w:val="0"/>
          <w:strike w:val="0"/>
          <w:color w:val="000000"/>
          <w:shd w:fill="auto" w:val="clear"/>
          <w:vertAlign w:val="baseline"/>
        </w:rPr>
      </w:pPr>
      <w:r w:rsidDel="00000000" w:rsidR="00000000" w:rsidRPr="00000000">
        <w:rPr>
          <w:i w:val="1"/>
          <w:smallCaps w:val="0"/>
          <w:strike w:val="0"/>
          <w:color w:val="000000"/>
          <w:u w:val="none"/>
          <w:shd w:fill="auto" w:val="clear"/>
          <w:vertAlign w:val="baseline"/>
          <w:rtl w:val="0"/>
        </w:rPr>
        <w:t xml:space="preserve">Soggetti responsabili dell’attuazione dell’intervento regolatorio</w:t>
      </w: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i w:val="1"/>
        </w:rPr>
      </w:pPr>
      <w:r w:rsidDel="00000000" w:rsidR="00000000" w:rsidRPr="00000000">
        <w:rPr>
          <w:i w:val="1"/>
          <w:rtl w:val="0"/>
        </w:rPr>
        <w:t xml:space="preserve">Azioni per la pubblicità e per l’informazione dell’intervento </w:t>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i w:val="1"/>
          <w:smallCaps w:val="0"/>
          <w:strike w:val="0"/>
          <w:color w:val="000000"/>
          <w:shd w:fill="auto" w:val="clear"/>
          <w:vertAlign w:val="baseline"/>
        </w:rPr>
      </w:pPr>
      <w:r w:rsidDel="00000000" w:rsidR="00000000" w:rsidRPr="00000000">
        <w:rPr>
          <w:i w:val="1"/>
          <w:smallCaps w:val="0"/>
          <w:strike w:val="0"/>
          <w:color w:val="000000"/>
          <w:u w:val="none"/>
          <w:shd w:fill="auto" w:val="clear"/>
          <w:vertAlign w:val="baseline"/>
          <w:rtl w:val="0"/>
        </w:rPr>
        <w:t xml:space="preserve">Strumenti e modalità per il controllo e il monitoraggio dell’intervento regolatorio</w:t>
      </w: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76" w:lineRule="auto"/>
        <w:ind w:left="360" w:right="0" w:hanging="360"/>
        <w:jc w:val="both"/>
        <w:rPr>
          <w:i w:val="1"/>
          <w:smallCaps w:val="0"/>
          <w:strike w:val="0"/>
          <w:color w:val="000000"/>
          <w:shd w:fill="auto" w:val="clear"/>
          <w:vertAlign w:val="baseline"/>
        </w:rPr>
      </w:pPr>
      <w:r w:rsidDel="00000000" w:rsidR="00000000" w:rsidRPr="00000000">
        <w:rPr>
          <w:i w:val="1"/>
          <w:smallCaps w:val="0"/>
          <w:strike w:val="0"/>
          <w:color w:val="000000"/>
          <w:u w:val="none"/>
          <w:shd w:fill="auto" w:val="clear"/>
          <w:vertAlign w:val="baseline"/>
          <w:rtl w:val="0"/>
        </w:rPr>
        <w:t xml:space="preserve">Meccanismi previsti per la revisione dell’intervento regolatorio</w:t>
      </w:r>
      <w:r w:rsidDel="00000000" w:rsidR="00000000" w:rsidRPr="00000000">
        <w:rPr>
          <w:rtl w:val="0"/>
        </w:rPr>
      </w:r>
    </w:p>
    <w:p w:rsidR="00000000" w:rsidDel="00000000" w:rsidP="00000000" w:rsidRDefault="00000000" w:rsidRPr="00000000" w14:paraId="0000002F">
      <w:pPr>
        <w:spacing w:line="276" w:lineRule="auto"/>
        <w:jc w:val="both"/>
        <w:rPr>
          <w:b w:val="1"/>
        </w:rPr>
      </w:pPr>
      <w:r w:rsidDel="00000000" w:rsidR="00000000" w:rsidRPr="00000000">
        <w:rPr>
          <w:rtl w:val="0"/>
        </w:rPr>
        <w:t xml:space="preserve">SEZIONE 8 - Rispetto dei livelli minimi di regolazione europea</w:t>
      </w:r>
      <w:r w:rsidDel="00000000" w:rsidR="00000000" w:rsidRPr="00000000">
        <w:br w:type="page"/>
      </w:r>
      <w:r w:rsidDel="00000000" w:rsidR="00000000" w:rsidRPr="00000000">
        <w:rPr>
          <w:rtl w:val="0"/>
        </w:rPr>
      </w:r>
    </w:p>
    <w:p w:rsidR="00000000" w:rsidDel="00000000" w:rsidP="00000000" w:rsidRDefault="00000000" w:rsidRPr="00000000" w14:paraId="00000030">
      <w:pPr>
        <w:spacing w:line="276" w:lineRule="auto"/>
        <w:jc w:val="both"/>
        <w:rPr>
          <w:b w:val="1"/>
        </w:rPr>
      </w:pPr>
      <w:r w:rsidDel="00000000" w:rsidR="00000000" w:rsidRPr="00000000">
        <w:rPr>
          <w:b w:val="1"/>
          <w:rtl w:val="0"/>
        </w:rPr>
        <w:t xml:space="preserve">________________________________________________________________________________</w:t>
      </w:r>
    </w:p>
    <w:p w:rsidR="00000000" w:rsidDel="00000000" w:rsidP="00000000" w:rsidRDefault="00000000" w:rsidRPr="00000000" w14:paraId="00000031">
      <w:pPr>
        <w:spacing w:before="240" w:line="276" w:lineRule="auto"/>
        <w:jc w:val="both"/>
        <w:rPr>
          <w:b w:val="1"/>
        </w:rPr>
      </w:pPr>
      <w:r w:rsidDel="00000000" w:rsidR="00000000" w:rsidRPr="00000000">
        <w:rPr>
          <w:b w:val="1"/>
          <w:rtl w:val="0"/>
        </w:rPr>
        <w:t xml:space="preserve">SEZIONE 1</w:t>
      </w:r>
    </w:p>
    <w:p w:rsidR="00000000" w:rsidDel="00000000" w:rsidP="00000000" w:rsidRDefault="00000000" w:rsidRPr="00000000" w14:paraId="00000032">
      <w:pPr>
        <w:spacing w:line="276" w:lineRule="auto"/>
        <w:jc w:val="both"/>
        <w:rPr>
          <w:b w:val="1"/>
        </w:rPr>
      </w:pPr>
      <w:r w:rsidDel="00000000" w:rsidR="00000000" w:rsidRPr="00000000">
        <w:rPr>
          <w:b w:val="1"/>
          <w:rtl w:val="0"/>
        </w:rPr>
        <w:t xml:space="preserve">Contesto e obiettivi dell’intervento di regolamentazione</w:t>
      </w:r>
    </w:p>
    <w:p w:rsidR="00000000" w:rsidDel="00000000" w:rsidP="00000000" w:rsidRDefault="00000000" w:rsidRPr="00000000" w14:paraId="00000033">
      <w:pPr>
        <w:spacing w:after="240" w:line="276" w:lineRule="auto"/>
        <w:jc w:val="both"/>
        <w:rPr>
          <w:b w:val="1"/>
        </w:rPr>
      </w:pPr>
      <w:r w:rsidDel="00000000" w:rsidR="00000000" w:rsidRPr="00000000">
        <w:rPr>
          <w:b w:val="1"/>
          <w:rtl w:val="0"/>
        </w:rPr>
        <w:t xml:space="preserve">________________________________________________________________________________</w:t>
      </w:r>
    </w:p>
    <w:p w:rsidR="00000000" w:rsidDel="00000000" w:rsidP="00000000" w:rsidRDefault="00000000" w:rsidRPr="00000000" w14:paraId="000000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360" w:right="0" w:hanging="360"/>
        <w:jc w:val="both"/>
        <w:rPr>
          <w:b w:val="1"/>
          <w:i w:val="1"/>
          <w:smallCaps w:val="0"/>
          <w:strike w:val="0"/>
          <w:color w:val="000000"/>
          <w:shd w:fill="auto" w:val="clear"/>
          <w:vertAlign w:val="baseline"/>
        </w:rPr>
      </w:pPr>
      <w:r w:rsidDel="00000000" w:rsidR="00000000" w:rsidRPr="00000000">
        <w:rPr>
          <w:b w:val="1"/>
          <w:i w:val="1"/>
          <w:smallCaps w:val="0"/>
          <w:strike w:val="0"/>
          <w:color w:val="000000"/>
          <w:u w:val="none"/>
          <w:shd w:fill="auto" w:val="clear"/>
          <w:vertAlign w:val="baseline"/>
          <w:rtl w:val="0"/>
        </w:rPr>
        <w:t xml:space="preserve">La rappresentazione del problema da risolvere e delle criticità constatate, anche con riferimento al contesto internazionale ed europeo, nonché delle esigenze sociali ed economiche considerate</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both"/>
        <w:rPr/>
      </w:pPr>
      <w:r w:rsidDel="00000000" w:rsidR="00000000" w:rsidRPr="00000000">
        <w:rPr>
          <w:rtl w:val="0"/>
        </w:rPr>
        <w:t xml:space="preserve">Il legislatore negli anni ha introdotto numerose agevolazioni fiscali volte a realizzare obiettivi di riqualificazione energetica e di recupero edilizio del patrimonio immobiliare. Tali misure consistono in una serie di detrazioni d’imposta delle spese sostenute per raggiungere l’obiettivo dell’intervento e la loro applicabilità è stata oggetto di numerose proroghe nel corso degli anni, nonché di modifiche che hanno inciso sulle aliquote delle detrazioni, sui limiti massimi di spesa, sulle categorie di interventi agevolabili nonché sui soggetti beneficiari.</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both"/>
        <w:rPr/>
      </w:pPr>
      <w:r w:rsidDel="00000000" w:rsidR="00000000" w:rsidRPr="00000000">
        <w:rPr>
          <w:rtl w:val="0"/>
        </w:rPr>
        <w:t xml:space="preserve">Da ultimo, il decreto-legge 19 maggio 2020, n. 34 (“Decreto rilancio”) ha introdotto il cosiddetto Superbonus, ovvero un’agevolazione che fissa al 110 per cento l’aliquota di detrazione delle spese sostenute per specifici interventi di efficientamento energetico, antisismico, di installazione di impianti fotovoltaici o di infrastrutture per la ricarica di veicoli elettrici negli edifici. In particolare, con l’articolo 121 del citato Decreto si è prevista la possibilità di cedere il credito fiscale a soggetti terzi, comprese banche e intermediari finanziari.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both"/>
        <w:rPr/>
      </w:pPr>
      <w:r w:rsidDel="00000000" w:rsidR="00000000" w:rsidRPr="00000000">
        <w:rPr>
          <w:rtl w:val="0"/>
        </w:rPr>
        <w:t xml:space="preserve">Il meccanismo del Superbonus ha consentito un importantissimo rilancio del settore edilizio, precedentemente in crisi, con evidenti ricadute positive sulla crescita economica, sul mercato del lavoro e sulla coesione sociale; nella sola Campania, secondo i dati raccolti dall’Agenzia ENEA, sono stati oltre 21.000 gli interventi avviati, per un importo complessivo di 4,7 miliardi di euro, e con un impatto sull’occupazione che è stato stimato in oltre 78.000 nuovi posti di lavoro.</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both"/>
        <w:rPr/>
      </w:pPr>
      <w:r w:rsidDel="00000000" w:rsidR="00000000" w:rsidRPr="00000000">
        <w:rPr>
          <w:rtl w:val="0"/>
        </w:rPr>
        <w:t xml:space="preserve">La maxi-detrazione rimane ancora il traino principale per la crescita del settore, nonostante la modifica della disciplina operata, da ultimo, dal decreto legge 11/2023 (“Blocca cessioni”), che consente unicamente la detrazione dalle imposte per i nuovi crediti generati dal Superbonus, senza possibilità di cessione a imprese o a istituzioni finanziarie, nonché alle pubbliche amministrazioni, limitando così la possibilità di accesso alla misura ai soli cittadini con i redditi più alti. </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both"/>
        <w:rPr/>
      </w:pPr>
      <w:r w:rsidDel="00000000" w:rsidR="00000000" w:rsidRPr="00000000">
        <w:rPr>
          <w:rtl w:val="0"/>
        </w:rPr>
        <w:t xml:space="preserve">Le numerose modifiche normative hanno contribuito, di fatto, alla nascita di una categoria di “esodati”, ovvero di imprese e famiglie impossibilitate a cedere i crediti generati dai bonus edilizi; in particolare, nel corso di una recente audizione svolta presso la Camera dei Deputati, il Ministero dell’Economia e delle Finanze ha quantificato in circa 30 miliardi di euro i crediti fiscali legati al solo Superbonus che non riescono a trovare collocazione sul mercato.</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both"/>
        <w:rPr/>
      </w:pPr>
      <w:r w:rsidDel="00000000" w:rsidR="00000000" w:rsidRPr="00000000">
        <w:rPr>
          <w:rtl w:val="0"/>
        </w:rPr>
        <w:t xml:space="preserve">In Campania, è stato stimato che sarebbero 2.000 le imprese a rischio fallimento a causa del blocco alla cessione dei crediti, con una perdita di posti di lavoro stimata in almeno 20.000 unità.</w:t>
      </w:r>
    </w:p>
    <w:p w:rsidR="00000000" w:rsidDel="00000000" w:rsidP="00000000" w:rsidRDefault="00000000" w:rsidRPr="00000000" w14:paraId="0000003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1"/>
          <w:i w:val="1"/>
          <w:smallCaps w:val="0"/>
          <w:strike w:val="0"/>
          <w:color w:val="000000"/>
          <w:shd w:fill="auto" w:val="clear"/>
          <w:vertAlign w:val="baseline"/>
        </w:rPr>
      </w:pPr>
      <w:r w:rsidDel="00000000" w:rsidR="00000000" w:rsidRPr="00000000">
        <w:rPr>
          <w:b w:val="1"/>
          <w:i w:val="1"/>
          <w:smallCaps w:val="0"/>
          <w:strike w:val="0"/>
          <w:color w:val="000000"/>
          <w:u w:val="none"/>
          <w:shd w:fill="auto" w:val="clear"/>
          <w:vertAlign w:val="baseline"/>
          <w:rtl w:val="0"/>
        </w:rPr>
        <w:t xml:space="preserve">Indicazione degli obiettivi perseguiti con l’intervento normativo</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right="0"/>
        <w:jc w:val="both"/>
        <w:rPr/>
      </w:pPr>
      <w:r w:rsidDel="00000000" w:rsidR="00000000" w:rsidRPr="00000000">
        <w:rPr>
          <w:rtl w:val="0"/>
        </w:rPr>
        <w:t xml:space="preserve">L’obiettivo dell’intervento normativo è quello di favorire, attraverso gli enti pubblici economici e le società partecipate della Regione, l’acquisto annuale di crediti d’imposta relativi a bonus edilizi tuttora in vigore (superbonus 110%, bonus facciate 90%, bonus efficientamento 65%, bonus ristrutturazioni 50%), così da contribuire in maniera decisiva a evitare il fallimento di professionisti e imprese che, dopo aver praticato lo sconto in fattura e acquisito il relativo credito fiscale, non riescono a collocarlo sul mercato per una vera e propria “congestione” del sistema.</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right="0"/>
        <w:jc w:val="both"/>
        <w:rPr/>
      </w:pP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0" w:line="276" w:lineRule="auto"/>
        <w:ind w:left="360" w:right="0" w:hanging="360"/>
        <w:jc w:val="both"/>
        <w:rPr>
          <w:b w:val="1"/>
          <w:i w:val="1"/>
          <w:smallCaps w:val="0"/>
          <w:strike w:val="0"/>
          <w:color w:val="000000"/>
          <w:shd w:fill="auto" w:val="clear"/>
          <w:vertAlign w:val="baseline"/>
        </w:rPr>
      </w:pPr>
      <w:r w:rsidDel="00000000" w:rsidR="00000000" w:rsidRPr="00000000">
        <w:rPr>
          <w:b w:val="1"/>
          <w:i w:val="1"/>
          <w:smallCaps w:val="0"/>
          <w:strike w:val="0"/>
          <w:color w:val="000000"/>
          <w:u w:val="none"/>
          <w:shd w:fill="auto" w:val="clear"/>
          <w:vertAlign w:val="baseline"/>
          <w:rtl w:val="0"/>
        </w:rPr>
        <w:t xml:space="preserve">Descrizione degli indicatori che consentono di verificare il grado di raggiungimento degli obiettivi indicati e di monitorare l’attuazione dell’intervento nell’ambito della VIR</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both"/>
        <w:rPr/>
      </w:pPr>
      <w:r w:rsidDel="00000000" w:rsidR="00000000" w:rsidRPr="00000000">
        <w:rPr>
          <w:rtl w:val="0"/>
        </w:rPr>
        <w:t xml:space="preserve">Tra gli indicatori che consentiranno di verificare il grado di raggiungimento degli obiettivi vi sarà il quantitativo effettivo di crediti acquisiti dagli enti pubblici economici/partecipate regionali a seguito delle azioni di promozione e coordinamento avviate dall’Ente.</w:t>
      </w:r>
    </w:p>
    <w:p w:rsidR="00000000" w:rsidDel="00000000" w:rsidP="00000000" w:rsidRDefault="00000000" w:rsidRPr="00000000" w14:paraId="0000004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0" w:line="276" w:lineRule="auto"/>
        <w:ind w:left="360" w:right="0" w:hanging="360"/>
        <w:jc w:val="both"/>
        <w:rPr>
          <w:b w:val="1"/>
          <w:i w:val="1"/>
          <w:smallCaps w:val="0"/>
          <w:strike w:val="0"/>
          <w:color w:val="000000"/>
          <w:shd w:fill="auto" w:val="clear"/>
          <w:vertAlign w:val="baseline"/>
        </w:rPr>
      </w:pPr>
      <w:r w:rsidDel="00000000" w:rsidR="00000000" w:rsidRPr="00000000">
        <w:rPr>
          <w:b w:val="1"/>
          <w:i w:val="1"/>
          <w:smallCaps w:val="0"/>
          <w:strike w:val="0"/>
          <w:color w:val="000000"/>
          <w:u w:val="none"/>
          <w:shd w:fill="auto" w:val="clear"/>
          <w:vertAlign w:val="baseline"/>
          <w:rtl w:val="0"/>
        </w:rPr>
        <w:t xml:space="preserve">Indicazione delle categorie dei soggetti, pubblici e privati, destinatari dei principali effetti dell’intervento regolatorio</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00" w:line="276" w:lineRule="auto"/>
        <w:ind w:left="0" w:right="0" w:firstLine="0"/>
        <w:jc w:val="both"/>
        <w:rPr/>
      </w:pPr>
      <w:r w:rsidDel="00000000" w:rsidR="00000000" w:rsidRPr="00000000">
        <w:rPr>
          <w:rtl w:val="0"/>
        </w:rPr>
        <w:t xml:space="preserve">I destinatari degli effetti dell’intervento normativo sono gli enti pubblici economici e le partecipate regionali, nei confronti dei quali la Regione effettuerà specifiche azioni di promozione finalizzate all’acquisto dei crediti derivanti dai bonus edilizi.</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0" w:right="0" w:firstLine="0"/>
        <w:jc w:val="both"/>
        <w:rPr/>
      </w:pPr>
      <w:r w:rsidDel="00000000" w:rsidR="00000000" w:rsidRPr="00000000">
        <w:rPr>
          <w:rtl w:val="0"/>
        </w:rPr>
        <w:t xml:space="preserve">Sono altresì destinatari dell’intervento le imprese e i professionisti attualmente in difficoltà nella cessione dei crediti fiscali generati dagli interventi di recupero del patrimonio edilizio/efficientamento energetico.</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0" w:right="0" w:firstLine="0"/>
        <w:jc w:val="both"/>
        <w:rPr/>
      </w:pPr>
      <w:r w:rsidDel="00000000" w:rsidR="00000000" w:rsidRPr="00000000">
        <w:rPr>
          <w:rtl w:val="0"/>
        </w:rPr>
        <w:t xml:space="preserve">Destinataria indiretta è la collettività regionale nel suo insieme.</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0" w:right="0" w:firstLine="0"/>
        <w:jc w:val="both"/>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0" w:right="0" w:firstLine="0"/>
        <w:jc w:val="both"/>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0" w:right="0" w:firstLine="0"/>
        <w:jc w:val="both"/>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0" w:right="0" w:firstLine="0"/>
        <w:jc w:val="both"/>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76" w:lineRule="auto"/>
        <w:ind w:left="0" w:right="0" w:firstLine="0"/>
        <w:jc w:val="both"/>
        <w:rPr>
          <w:b w:val="1"/>
        </w:rPr>
      </w:pPr>
      <w:r w:rsidDel="00000000" w:rsidR="00000000" w:rsidRPr="00000000">
        <w:rPr>
          <w:b w:val="1"/>
          <w:rtl w:val="0"/>
        </w:rPr>
        <w:t xml:space="preserve">________________________________________________________________________________</w:t>
      </w:r>
    </w:p>
    <w:p w:rsidR="00000000" w:rsidDel="00000000" w:rsidP="00000000" w:rsidRDefault="00000000" w:rsidRPr="00000000" w14:paraId="00000049">
      <w:pPr>
        <w:spacing w:before="240" w:line="276" w:lineRule="auto"/>
        <w:jc w:val="both"/>
        <w:rPr>
          <w:b w:val="1"/>
        </w:rPr>
      </w:pPr>
      <w:r w:rsidDel="00000000" w:rsidR="00000000" w:rsidRPr="00000000">
        <w:rPr>
          <w:b w:val="1"/>
          <w:rtl w:val="0"/>
        </w:rPr>
        <w:t xml:space="preserve">SEZIONE 2</w:t>
      </w:r>
    </w:p>
    <w:p w:rsidR="00000000" w:rsidDel="00000000" w:rsidP="00000000" w:rsidRDefault="00000000" w:rsidRPr="00000000" w14:paraId="0000004A">
      <w:pPr>
        <w:spacing w:line="276" w:lineRule="auto"/>
        <w:jc w:val="both"/>
        <w:rPr>
          <w:b w:val="1"/>
        </w:rPr>
      </w:pPr>
      <w:r w:rsidDel="00000000" w:rsidR="00000000" w:rsidRPr="00000000">
        <w:rPr>
          <w:b w:val="1"/>
          <w:rtl w:val="0"/>
        </w:rPr>
        <w:t xml:space="preserve">Procedure di consultazione precedenti l’intervento</w:t>
      </w:r>
    </w:p>
    <w:p w:rsidR="00000000" w:rsidDel="00000000" w:rsidP="00000000" w:rsidRDefault="00000000" w:rsidRPr="00000000" w14:paraId="0000004B">
      <w:pPr>
        <w:spacing w:after="240" w:line="276" w:lineRule="auto"/>
        <w:jc w:val="both"/>
        <w:rPr>
          <w:b w:val="1"/>
        </w:rPr>
      </w:pPr>
      <w:r w:rsidDel="00000000" w:rsidR="00000000" w:rsidRPr="00000000">
        <w:rPr>
          <w:b w:val="1"/>
          <w:rtl w:val="0"/>
        </w:rPr>
        <w:t xml:space="preserve">________________________________________________________________________________</w:t>
      </w:r>
    </w:p>
    <w:p w:rsidR="00000000" w:rsidDel="00000000" w:rsidP="00000000" w:rsidRDefault="00000000" w:rsidRPr="00000000" w14:paraId="0000004C">
      <w:pPr>
        <w:spacing w:after="0" w:lineRule="auto"/>
        <w:jc w:val="both"/>
        <w:rPr/>
      </w:pPr>
      <w:r w:rsidDel="00000000" w:rsidR="00000000" w:rsidRPr="00000000">
        <w:rPr>
          <w:rtl w:val="0"/>
        </w:rPr>
        <w:t xml:space="preserve">L’intervento normativo scaturisce da un’interlocuzione con l’associazione nazionale “Esodati del Superbonus”, sfociata in prima battuta nella mozione “Sblocco della cessione dei crediti maturati dal Superbonus 110%” (R.G. n. 226/4), approvata dal Consiglio regionale nella seduta del 14 luglio 2023. Tra gli impegni contenuti nel dispositivo dell’atto, figurava anche la convocazione, a iniziativa della Giunta regionale, di un tavolo istituzionale, con la partecipazione di istituti di credito e assicurativi, enti finanziari, società pubbliche partecipate o controllate dalla Regione e altri soggetti deputati, finalizzato a valutare, ove consentito ai sensi della normativa vigente, il possibile acquisto dei crediti maturati dal Superbonus.</w:t>
      </w:r>
    </w:p>
    <w:p w:rsidR="00000000" w:rsidDel="00000000" w:rsidP="00000000" w:rsidRDefault="00000000" w:rsidRPr="00000000" w14:paraId="0000004D">
      <w:pPr>
        <w:spacing w:line="276" w:lineRule="auto"/>
        <w:jc w:val="both"/>
        <w:rPr>
          <w:b w:val="1"/>
        </w:rPr>
      </w:pPr>
      <w:r w:rsidDel="00000000" w:rsidR="00000000" w:rsidRPr="00000000">
        <w:rPr>
          <w:b w:val="1"/>
          <w:rtl w:val="0"/>
        </w:rPr>
        <w:t xml:space="preserve">________________________________________________________________________________</w:t>
      </w:r>
    </w:p>
    <w:p w:rsidR="00000000" w:rsidDel="00000000" w:rsidP="00000000" w:rsidRDefault="00000000" w:rsidRPr="00000000" w14:paraId="0000004E">
      <w:pPr>
        <w:spacing w:before="240" w:line="276" w:lineRule="auto"/>
        <w:jc w:val="both"/>
        <w:rPr>
          <w:b w:val="1"/>
        </w:rPr>
      </w:pPr>
      <w:r w:rsidDel="00000000" w:rsidR="00000000" w:rsidRPr="00000000">
        <w:rPr>
          <w:b w:val="1"/>
          <w:rtl w:val="0"/>
        </w:rPr>
        <w:t xml:space="preserve">SEZIONE 3</w:t>
      </w:r>
    </w:p>
    <w:p w:rsidR="00000000" w:rsidDel="00000000" w:rsidP="00000000" w:rsidRDefault="00000000" w:rsidRPr="00000000" w14:paraId="0000004F">
      <w:pPr>
        <w:spacing w:line="276" w:lineRule="auto"/>
        <w:jc w:val="both"/>
        <w:rPr>
          <w:b w:val="1"/>
        </w:rPr>
      </w:pPr>
      <w:r w:rsidDel="00000000" w:rsidR="00000000" w:rsidRPr="00000000">
        <w:rPr>
          <w:b w:val="1"/>
          <w:rtl w:val="0"/>
        </w:rPr>
        <w:t xml:space="preserve">Valutazione dell’opzione di non intervento di regolamentazione (opzione zero)</w:t>
      </w:r>
    </w:p>
    <w:p w:rsidR="00000000" w:rsidDel="00000000" w:rsidP="00000000" w:rsidRDefault="00000000" w:rsidRPr="00000000" w14:paraId="00000050">
      <w:pPr>
        <w:spacing w:after="240" w:line="276" w:lineRule="auto"/>
        <w:jc w:val="both"/>
        <w:rPr>
          <w:b w:val="1"/>
        </w:rPr>
      </w:pPr>
      <w:r w:rsidDel="00000000" w:rsidR="00000000" w:rsidRPr="00000000">
        <w:rPr>
          <w:b w:val="1"/>
          <w:rtl w:val="0"/>
        </w:rPr>
        <w:t xml:space="preserve">________________________________________________________________________________</w:t>
      </w:r>
    </w:p>
    <w:p w:rsidR="00000000" w:rsidDel="00000000" w:rsidP="00000000" w:rsidRDefault="00000000" w:rsidRPr="00000000" w14:paraId="00000051">
      <w:pPr>
        <w:spacing w:after="0" w:lineRule="auto"/>
        <w:jc w:val="both"/>
        <w:rPr/>
      </w:pPr>
      <w:r w:rsidDel="00000000" w:rsidR="00000000" w:rsidRPr="00000000">
        <w:rPr>
          <w:rtl w:val="0"/>
        </w:rPr>
        <w:t xml:space="preserve">L’opzione zero è stata valutata come non percorribile, in quanto l’intervento di regolamentazione rappresenta l’unico strumento in grado di fornire una risposta valida - e con effetti vincolanti - agli obiettivi e alle finalità indicati nella sezione 1.</w:t>
      </w:r>
    </w:p>
    <w:p w:rsidR="00000000" w:rsidDel="00000000" w:rsidP="00000000" w:rsidRDefault="00000000" w:rsidRPr="00000000" w14:paraId="00000052">
      <w:pPr>
        <w:spacing w:line="276" w:lineRule="auto"/>
        <w:jc w:val="both"/>
        <w:rPr>
          <w:b w:val="1"/>
        </w:rPr>
      </w:pPr>
      <w:r w:rsidDel="00000000" w:rsidR="00000000" w:rsidRPr="00000000">
        <w:rPr>
          <w:b w:val="1"/>
          <w:rtl w:val="0"/>
        </w:rPr>
        <w:t xml:space="preserve">________________________________________________________________________________</w:t>
      </w:r>
    </w:p>
    <w:p w:rsidR="00000000" w:rsidDel="00000000" w:rsidP="00000000" w:rsidRDefault="00000000" w:rsidRPr="00000000" w14:paraId="00000053">
      <w:pPr>
        <w:spacing w:before="240" w:line="276" w:lineRule="auto"/>
        <w:jc w:val="both"/>
        <w:rPr>
          <w:b w:val="1"/>
        </w:rPr>
      </w:pPr>
      <w:r w:rsidDel="00000000" w:rsidR="00000000" w:rsidRPr="00000000">
        <w:rPr>
          <w:b w:val="1"/>
          <w:rtl w:val="0"/>
        </w:rPr>
        <w:t xml:space="preserve">SEZIONE 4</w:t>
      </w:r>
    </w:p>
    <w:p w:rsidR="00000000" w:rsidDel="00000000" w:rsidP="00000000" w:rsidRDefault="00000000" w:rsidRPr="00000000" w14:paraId="00000054">
      <w:pPr>
        <w:spacing w:line="276" w:lineRule="auto"/>
        <w:jc w:val="both"/>
        <w:rPr>
          <w:b w:val="1"/>
        </w:rPr>
      </w:pPr>
      <w:r w:rsidDel="00000000" w:rsidR="00000000" w:rsidRPr="00000000">
        <w:rPr>
          <w:b w:val="1"/>
          <w:rtl w:val="0"/>
        </w:rPr>
        <w:t xml:space="preserve">Opzioni alternative all’intervento regolatorio</w:t>
      </w:r>
    </w:p>
    <w:p w:rsidR="00000000" w:rsidDel="00000000" w:rsidP="00000000" w:rsidRDefault="00000000" w:rsidRPr="00000000" w14:paraId="00000055">
      <w:pPr>
        <w:spacing w:after="240" w:line="276" w:lineRule="auto"/>
        <w:jc w:val="both"/>
        <w:rPr>
          <w:b w:val="1"/>
        </w:rPr>
      </w:pPr>
      <w:r w:rsidDel="00000000" w:rsidR="00000000" w:rsidRPr="00000000">
        <w:rPr>
          <w:b w:val="1"/>
          <w:rtl w:val="0"/>
        </w:rPr>
        <w:t xml:space="preserve">________________________________________________________________________________</w:t>
      </w:r>
    </w:p>
    <w:p w:rsidR="00000000" w:rsidDel="00000000" w:rsidP="00000000" w:rsidRDefault="00000000" w:rsidRPr="00000000" w14:paraId="00000056">
      <w:pPr>
        <w:spacing w:after="0" w:lineRule="auto"/>
        <w:jc w:val="both"/>
        <w:rPr/>
      </w:pPr>
      <w:r w:rsidDel="00000000" w:rsidR="00000000" w:rsidRPr="00000000">
        <w:rPr>
          <w:rtl w:val="0"/>
        </w:rPr>
        <w:t xml:space="preserve">Non sono configurabili opzioni alternative all’intervento regolatorio; peraltro, nel corso dell’esame della legge regionale Basilicata 16 luglio 2023, n. 20, recante “Circolazione dei crediti fiscali per efficientamento energetico”, dal contenuto pressoché analogo alla proposta di legge in argomento, l’Ufficio legislativo del Ministero dell’Economia e delle Finanze ha riconosciuto la competenza regionale a legiferare in materia, riconoscendola coerente con la legislazione nazionale in materia e con il quadro costituzionale di riferimento.</w:t>
      </w:r>
    </w:p>
    <w:p w:rsidR="00000000" w:rsidDel="00000000" w:rsidP="00000000" w:rsidRDefault="00000000" w:rsidRPr="00000000" w14:paraId="00000057">
      <w:pPr>
        <w:spacing w:after="0" w:lineRule="auto"/>
        <w:jc w:val="both"/>
        <w:rPr/>
      </w:pPr>
      <w:r w:rsidDel="00000000" w:rsidR="00000000" w:rsidRPr="00000000">
        <w:rPr>
          <w:rtl w:val="0"/>
        </w:rPr>
      </w:r>
    </w:p>
    <w:p w:rsidR="00000000" w:rsidDel="00000000" w:rsidP="00000000" w:rsidRDefault="00000000" w:rsidRPr="00000000" w14:paraId="00000058">
      <w:pPr>
        <w:spacing w:after="0" w:lineRule="auto"/>
        <w:jc w:val="both"/>
        <w:rPr/>
      </w:pPr>
      <w:r w:rsidDel="00000000" w:rsidR="00000000" w:rsidRPr="00000000">
        <w:rPr>
          <w:rtl w:val="0"/>
        </w:rPr>
      </w:r>
    </w:p>
    <w:p w:rsidR="00000000" w:rsidDel="00000000" w:rsidP="00000000" w:rsidRDefault="00000000" w:rsidRPr="00000000" w14:paraId="00000059">
      <w:pPr>
        <w:spacing w:after="0" w:lineRule="auto"/>
        <w:jc w:val="both"/>
        <w:rPr/>
      </w:pPr>
      <w:r w:rsidDel="00000000" w:rsidR="00000000" w:rsidRPr="00000000">
        <w:rPr>
          <w:rtl w:val="0"/>
        </w:rPr>
      </w:r>
    </w:p>
    <w:p w:rsidR="00000000" w:rsidDel="00000000" w:rsidP="00000000" w:rsidRDefault="00000000" w:rsidRPr="00000000" w14:paraId="0000005A">
      <w:pPr>
        <w:spacing w:after="0" w:lineRule="auto"/>
        <w:jc w:val="both"/>
        <w:rPr/>
      </w:pPr>
      <w:r w:rsidDel="00000000" w:rsidR="00000000" w:rsidRPr="00000000">
        <w:rPr>
          <w:rtl w:val="0"/>
        </w:rPr>
      </w:r>
    </w:p>
    <w:p w:rsidR="00000000" w:rsidDel="00000000" w:rsidP="00000000" w:rsidRDefault="00000000" w:rsidRPr="00000000" w14:paraId="0000005B">
      <w:pPr>
        <w:spacing w:after="0" w:lineRule="auto"/>
        <w:jc w:val="both"/>
        <w:rPr/>
      </w:pPr>
      <w:r w:rsidDel="00000000" w:rsidR="00000000" w:rsidRPr="00000000">
        <w:rPr>
          <w:rtl w:val="0"/>
        </w:rPr>
      </w:r>
    </w:p>
    <w:p w:rsidR="00000000" w:rsidDel="00000000" w:rsidP="00000000" w:rsidRDefault="00000000" w:rsidRPr="00000000" w14:paraId="0000005C">
      <w:pPr>
        <w:spacing w:after="0" w:lineRule="auto"/>
        <w:jc w:val="both"/>
        <w:rPr/>
      </w:pPr>
      <w:r w:rsidDel="00000000" w:rsidR="00000000" w:rsidRPr="00000000">
        <w:rPr>
          <w:rtl w:val="0"/>
        </w:rPr>
      </w:r>
    </w:p>
    <w:p w:rsidR="00000000" w:rsidDel="00000000" w:rsidP="00000000" w:rsidRDefault="00000000" w:rsidRPr="00000000" w14:paraId="0000005D">
      <w:pPr>
        <w:spacing w:after="0" w:lineRule="auto"/>
        <w:jc w:val="both"/>
        <w:rPr/>
      </w:pPr>
      <w:r w:rsidDel="00000000" w:rsidR="00000000" w:rsidRPr="00000000">
        <w:rPr>
          <w:rtl w:val="0"/>
        </w:rPr>
      </w:r>
    </w:p>
    <w:p w:rsidR="00000000" w:rsidDel="00000000" w:rsidP="00000000" w:rsidRDefault="00000000" w:rsidRPr="00000000" w14:paraId="0000005E">
      <w:pPr>
        <w:spacing w:after="0" w:lineRule="auto"/>
        <w:jc w:val="both"/>
        <w:rPr/>
      </w:pPr>
      <w:r w:rsidDel="00000000" w:rsidR="00000000" w:rsidRPr="00000000">
        <w:rPr>
          <w:rtl w:val="0"/>
        </w:rPr>
      </w:r>
    </w:p>
    <w:p w:rsidR="00000000" w:rsidDel="00000000" w:rsidP="00000000" w:rsidRDefault="00000000" w:rsidRPr="00000000" w14:paraId="0000005F">
      <w:pPr>
        <w:spacing w:after="0" w:lineRule="auto"/>
        <w:jc w:val="both"/>
        <w:rPr>
          <w:b w:val="1"/>
        </w:rPr>
      </w:pPr>
      <w:r w:rsidDel="00000000" w:rsidR="00000000" w:rsidRPr="00000000">
        <w:rPr>
          <w:b w:val="1"/>
          <w:rtl w:val="0"/>
        </w:rPr>
        <w:t xml:space="preserve">________________________________________________________________________________</w:t>
      </w:r>
    </w:p>
    <w:p w:rsidR="00000000" w:rsidDel="00000000" w:rsidP="00000000" w:rsidRDefault="00000000" w:rsidRPr="00000000" w14:paraId="00000060">
      <w:pPr>
        <w:spacing w:before="240" w:line="276" w:lineRule="auto"/>
        <w:jc w:val="both"/>
        <w:rPr>
          <w:b w:val="1"/>
        </w:rPr>
      </w:pPr>
      <w:r w:rsidDel="00000000" w:rsidR="00000000" w:rsidRPr="00000000">
        <w:rPr>
          <w:b w:val="1"/>
          <w:rtl w:val="0"/>
        </w:rPr>
        <w:t xml:space="preserve">SEZIONE 5</w:t>
      </w:r>
    </w:p>
    <w:p w:rsidR="00000000" w:rsidDel="00000000" w:rsidP="00000000" w:rsidRDefault="00000000" w:rsidRPr="00000000" w14:paraId="00000061">
      <w:pPr>
        <w:spacing w:line="276" w:lineRule="auto"/>
        <w:jc w:val="both"/>
        <w:rPr>
          <w:b w:val="1"/>
        </w:rPr>
      </w:pPr>
      <w:r w:rsidDel="00000000" w:rsidR="00000000" w:rsidRPr="00000000">
        <w:rPr>
          <w:b w:val="1"/>
          <w:rtl w:val="0"/>
        </w:rPr>
        <w:t xml:space="preserve">Giustificazione dell’opzione regolatoria proposta e valutazione degli oneri amministrativi e dell’impatto sulle PMI</w:t>
      </w:r>
    </w:p>
    <w:p w:rsidR="00000000" w:rsidDel="00000000" w:rsidP="00000000" w:rsidRDefault="00000000" w:rsidRPr="00000000" w14:paraId="00000062">
      <w:pPr>
        <w:spacing w:after="240" w:line="276" w:lineRule="auto"/>
        <w:jc w:val="both"/>
        <w:rPr>
          <w:b w:val="1"/>
        </w:rPr>
      </w:pPr>
      <w:r w:rsidDel="00000000" w:rsidR="00000000" w:rsidRPr="00000000">
        <w:rPr>
          <w:b w:val="1"/>
          <w:rtl w:val="0"/>
        </w:rPr>
        <w:t xml:space="preserve">________________________________________________________________________________</w:t>
      </w:r>
    </w:p>
    <w:p w:rsidR="00000000" w:rsidDel="00000000" w:rsidP="00000000" w:rsidRDefault="00000000" w:rsidRPr="00000000" w14:paraId="0000006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b w:val="1"/>
          <w:i w:val="1"/>
          <w:smallCaps w:val="0"/>
          <w:strike w:val="0"/>
          <w:color w:val="000000"/>
          <w:shd w:fill="auto" w:val="clear"/>
          <w:vertAlign w:val="baseline"/>
        </w:rPr>
      </w:pPr>
      <w:r w:rsidDel="00000000" w:rsidR="00000000" w:rsidRPr="00000000">
        <w:rPr>
          <w:b w:val="1"/>
          <w:i w:val="1"/>
          <w:smallCaps w:val="0"/>
          <w:strike w:val="0"/>
          <w:color w:val="000000"/>
          <w:u w:val="none"/>
          <w:shd w:fill="auto" w:val="clear"/>
          <w:vertAlign w:val="baseline"/>
          <w:rtl w:val="0"/>
        </w:rPr>
        <w:t xml:space="preserve">Svantaggi e vantaggi dell’opzione prescelta per i destinatari diretti e indiretti</w:t>
      </w:r>
      <w:r w:rsidDel="00000000" w:rsidR="00000000" w:rsidRPr="00000000">
        <w:rPr>
          <w:rtl w:val="0"/>
        </w:rPr>
      </w:r>
    </w:p>
    <w:p w:rsidR="00000000" w:rsidDel="00000000" w:rsidP="00000000" w:rsidRDefault="00000000" w:rsidRPr="00000000" w14:paraId="00000064">
      <w:pPr>
        <w:spacing w:before="240" w:lineRule="auto"/>
        <w:jc w:val="both"/>
        <w:rPr/>
      </w:pPr>
      <w:r w:rsidDel="00000000" w:rsidR="00000000" w:rsidRPr="00000000">
        <w:rPr>
          <w:rtl w:val="0"/>
        </w:rPr>
        <w:t xml:space="preserve">L’opzione proposta determina vantaggi per i destinatari diretti e indiretti dell’intervento, come dettagliatamente elencati alla Sez. 1, lett. d).</w:t>
      </w:r>
    </w:p>
    <w:p w:rsidR="00000000" w:rsidDel="00000000" w:rsidP="00000000" w:rsidRDefault="00000000" w:rsidRPr="00000000" w14:paraId="00000065">
      <w:pPr>
        <w:spacing w:after="200" w:before="240" w:lineRule="auto"/>
        <w:jc w:val="both"/>
        <w:rPr/>
      </w:pPr>
      <w:r w:rsidDel="00000000" w:rsidR="00000000" w:rsidRPr="00000000">
        <w:rPr>
          <w:rtl w:val="0"/>
        </w:rPr>
        <w:t xml:space="preserve">Il presente intervento non comporta svantaggi di alcun genere.</w:t>
      </w:r>
    </w:p>
    <w:p w:rsidR="00000000" w:rsidDel="00000000" w:rsidP="00000000" w:rsidRDefault="00000000" w:rsidRPr="00000000" w14:paraId="0000006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b w:val="1"/>
          <w:i w:val="1"/>
          <w:smallCaps w:val="0"/>
          <w:strike w:val="0"/>
          <w:color w:val="000000"/>
          <w:shd w:fill="auto" w:val="clear"/>
          <w:vertAlign w:val="baseline"/>
        </w:rPr>
      </w:pPr>
      <w:r w:rsidDel="00000000" w:rsidR="00000000" w:rsidRPr="00000000">
        <w:rPr>
          <w:b w:val="1"/>
          <w:i w:val="1"/>
          <w:smallCaps w:val="0"/>
          <w:strike w:val="0"/>
          <w:color w:val="000000"/>
          <w:u w:val="none"/>
          <w:shd w:fill="auto" w:val="clear"/>
          <w:vertAlign w:val="baseline"/>
          <w:rtl w:val="0"/>
        </w:rPr>
        <w:t xml:space="preserve">Individuazione e stima degli effetti dell’opzione prescelta sulle micro, piccole e medie imprese</w:t>
      </w:r>
      <w:r w:rsidDel="00000000" w:rsidR="00000000" w:rsidRPr="00000000">
        <w:rPr>
          <w:rtl w:val="0"/>
        </w:rPr>
      </w:r>
    </w:p>
    <w:p w:rsidR="00000000" w:rsidDel="00000000" w:rsidP="00000000" w:rsidRDefault="00000000" w:rsidRPr="00000000" w14:paraId="00000067">
      <w:pPr>
        <w:spacing w:after="200" w:before="200" w:lineRule="auto"/>
        <w:jc w:val="both"/>
        <w:rPr/>
      </w:pPr>
      <w:r w:rsidDel="00000000" w:rsidR="00000000" w:rsidRPr="00000000">
        <w:rPr>
          <w:rtl w:val="0"/>
        </w:rPr>
        <w:t xml:space="preserve">L’opzione prescelta produce vantaggi su quelle MPMI coinvolte negli interventi di riqualificazione energetica e di recupero edilizio del patrimonio immobiliare coperti da agevolazione fiscale.</w:t>
      </w:r>
    </w:p>
    <w:p w:rsidR="00000000" w:rsidDel="00000000" w:rsidP="00000000" w:rsidRDefault="00000000" w:rsidRPr="00000000" w14:paraId="00000068">
      <w:pPr>
        <w:numPr>
          <w:ilvl w:val="0"/>
          <w:numId w:val="3"/>
        </w:numPr>
        <w:spacing w:after="200" w:before="0" w:lineRule="auto"/>
        <w:ind w:left="360" w:hanging="360"/>
        <w:jc w:val="both"/>
        <w:rPr>
          <w:b w:val="1"/>
          <w:i w:val="1"/>
        </w:rPr>
      </w:pPr>
      <w:r w:rsidDel="00000000" w:rsidR="00000000" w:rsidRPr="00000000">
        <w:rPr>
          <w:b w:val="1"/>
          <w:i w:val="1"/>
          <w:rtl w:val="0"/>
        </w:rPr>
        <w:t xml:space="preserve">Indicazione e stima degli oneri informativi e dei relativi costi amministrativi, introdotti o eliminati a carico di cittadini e imprese. Per onere informativo si intende qualunque tipologia di adempimento comportante raccolta, elaborazione, trasmissione, conservazione e produzione di informazioni, comunicazioni e documenti alla pubblica amministrazione</w:t>
      </w:r>
    </w:p>
    <w:p w:rsidR="00000000" w:rsidDel="00000000" w:rsidP="00000000" w:rsidRDefault="00000000" w:rsidRPr="00000000" w14:paraId="00000069">
      <w:pPr>
        <w:spacing w:after="0" w:before="200" w:lineRule="auto"/>
        <w:jc w:val="both"/>
        <w:rPr/>
      </w:pPr>
      <w:r w:rsidDel="00000000" w:rsidR="00000000" w:rsidRPr="00000000">
        <w:rPr>
          <w:rtl w:val="0"/>
        </w:rPr>
        <w:t xml:space="preserve">L’intervento regolatorio non comporta riduzione di oneri informativi o costi a carico dei cittadini o delle imprese. </w:t>
      </w:r>
    </w:p>
    <w:p w:rsidR="00000000" w:rsidDel="00000000" w:rsidP="00000000" w:rsidRDefault="00000000" w:rsidRPr="00000000" w14:paraId="0000006A">
      <w:pPr>
        <w:spacing w:after="200" w:before="0" w:lineRule="auto"/>
        <w:jc w:val="both"/>
        <w:rPr>
          <w:b w:val="1"/>
        </w:rPr>
      </w:pPr>
      <w:r w:rsidDel="00000000" w:rsidR="00000000" w:rsidRPr="00000000">
        <w:rPr>
          <w:b w:val="1"/>
          <w:rtl w:val="0"/>
        </w:rPr>
        <w:t xml:space="preserve">________________________________________________________________________________</w:t>
      </w:r>
    </w:p>
    <w:p w:rsidR="00000000" w:rsidDel="00000000" w:rsidP="00000000" w:rsidRDefault="00000000" w:rsidRPr="00000000" w14:paraId="0000006B">
      <w:pPr>
        <w:spacing w:before="240" w:line="276" w:lineRule="auto"/>
        <w:jc w:val="both"/>
        <w:rPr>
          <w:b w:val="1"/>
        </w:rPr>
      </w:pPr>
      <w:r w:rsidDel="00000000" w:rsidR="00000000" w:rsidRPr="00000000">
        <w:rPr>
          <w:b w:val="1"/>
          <w:rtl w:val="0"/>
        </w:rPr>
        <w:t xml:space="preserve">SEZIONE 6</w:t>
      </w:r>
    </w:p>
    <w:p w:rsidR="00000000" w:rsidDel="00000000" w:rsidP="00000000" w:rsidRDefault="00000000" w:rsidRPr="00000000" w14:paraId="0000006C">
      <w:pPr>
        <w:spacing w:line="276" w:lineRule="auto"/>
        <w:jc w:val="both"/>
        <w:rPr>
          <w:b w:val="1"/>
        </w:rPr>
      </w:pPr>
      <w:r w:rsidDel="00000000" w:rsidR="00000000" w:rsidRPr="00000000">
        <w:rPr>
          <w:b w:val="1"/>
          <w:rtl w:val="0"/>
        </w:rPr>
        <w:t xml:space="preserve">Incidenza sul corretto funzionamento concorrenziale del mercato e sulla competitività regionale, nonché sulle politiche giovanili </w:t>
      </w:r>
    </w:p>
    <w:p w:rsidR="00000000" w:rsidDel="00000000" w:rsidP="00000000" w:rsidRDefault="00000000" w:rsidRPr="00000000" w14:paraId="0000006D">
      <w:pPr>
        <w:spacing w:after="240" w:line="276" w:lineRule="auto"/>
        <w:jc w:val="both"/>
        <w:rPr>
          <w:b w:val="1"/>
        </w:rPr>
      </w:pPr>
      <w:r w:rsidDel="00000000" w:rsidR="00000000" w:rsidRPr="00000000">
        <w:rPr>
          <w:b w:val="1"/>
          <w:rtl w:val="0"/>
        </w:rPr>
        <w:t xml:space="preserve">________________________________________________________________________________</w:t>
      </w:r>
    </w:p>
    <w:p w:rsidR="00000000" w:rsidDel="00000000" w:rsidP="00000000" w:rsidRDefault="00000000" w:rsidRPr="00000000" w14:paraId="0000006E">
      <w:pPr>
        <w:spacing w:after="0" w:lineRule="auto"/>
        <w:jc w:val="both"/>
        <w:rPr/>
      </w:pPr>
      <w:r w:rsidDel="00000000" w:rsidR="00000000" w:rsidRPr="00000000">
        <w:rPr>
          <w:rtl w:val="0"/>
        </w:rPr>
        <w:t xml:space="preserve">L’opzione prescelta non incide sul corretto funzionamento del mercato e sulla competitività regionale. L’intervento normativo è in grado inoltre di apportare benefici sulla platea giovanile della Regione, in particolare sul piano della salvaguardia dell’occupazione nel settore edilizio.</w:t>
      </w:r>
    </w:p>
    <w:p w:rsidR="00000000" w:rsidDel="00000000" w:rsidP="00000000" w:rsidRDefault="00000000" w:rsidRPr="00000000" w14:paraId="0000006F">
      <w:pPr>
        <w:spacing w:after="240" w:lineRule="auto"/>
        <w:jc w:val="both"/>
        <w:rPr>
          <w:b w:val="1"/>
        </w:rPr>
      </w:pPr>
      <w:r w:rsidDel="00000000" w:rsidR="00000000" w:rsidRPr="00000000">
        <w:rPr>
          <w:rtl w:val="0"/>
        </w:rPr>
      </w:r>
    </w:p>
    <w:p w:rsidR="00000000" w:rsidDel="00000000" w:rsidP="00000000" w:rsidRDefault="00000000" w:rsidRPr="00000000" w14:paraId="00000070">
      <w:pPr>
        <w:spacing w:after="240" w:lineRule="auto"/>
        <w:jc w:val="both"/>
        <w:rPr>
          <w:b w:val="1"/>
        </w:rPr>
      </w:pPr>
      <w:r w:rsidDel="00000000" w:rsidR="00000000" w:rsidRPr="00000000">
        <w:rPr>
          <w:rtl w:val="0"/>
        </w:rPr>
      </w:r>
    </w:p>
    <w:p w:rsidR="00000000" w:rsidDel="00000000" w:rsidP="00000000" w:rsidRDefault="00000000" w:rsidRPr="00000000" w14:paraId="00000071">
      <w:pPr>
        <w:spacing w:after="240" w:lineRule="auto"/>
        <w:jc w:val="both"/>
        <w:rPr>
          <w:b w:val="1"/>
        </w:rPr>
      </w:pPr>
      <w:r w:rsidDel="00000000" w:rsidR="00000000" w:rsidRPr="00000000">
        <w:rPr>
          <w:rtl w:val="0"/>
        </w:rPr>
      </w:r>
    </w:p>
    <w:p w:rsidR="00000000" w:rsidDel="00000000" w:rsidP="00000000" w:rsidRDefault="00000000" w:rsidRPr="00000000" w14:paraId="00000072">
      <w:pPr>
        <w:spacing w:after="240" w:lineRule="auto"/>
        <w:jc w:val="both"/>
        <w:rPr>
          <w:b w:val="1"/>
        </w:rPr>
      </w:pPr>
      <w:r w:rsidDel="00000000" w:rsidR="00000000" w:rsidRPr="00000000">
        <w:rPr>
          <w:rtl w:val="0"/>
        </w:rPr>
      </w:r>
    </w:p>
    <w:p w:rsidR="00000000" w:rsidDel="00000000" w:rsidP="00000000" w:rsidRDefault="00000000" w:rsidRPr="00000000" w14:paraId="00000073">
      <w:pPr>
        <w:spacing w:after="240" w:lineRule="auto"/>
        <w:jc w:val="both"/>
        <w:rPr>
          <w:b w:val="1"/>
        </w:rPr>
      </w:pPr>
      <w:r w:rsidDel="00000000" w:rsidR="00000000" w:rsidRPr="00000000">
        <w:rPr>
          <w:rtl w:val="0"/>
        </w:rPr>
      </w:r>
    </w:p>
    <w:p w:rsidR="00000000" w:rsidDel="00000000" w:rsidP="00000000" w:rsidRDefault="00000000" w:rsidRPr="00000000" w14:paraId="00000074">
      <w:pPr>
        <w:spacing w:after="240" w:lineRule="auto"/>
        <w:jc w:val="both"/>
        <w:rPr>
          <w:b w:val="1"/>
        </w:rPr>
      </w:pPr>
      <w:r w:rsidDel="00000000" w:rsidR="00000000" w:rsidRPr="00000000">
        <w:rPr>
          <w:b w:val="1"/>
          <w:rtl w:val="0"/>
        </w:rPr>
        <w:t xml:space="preserve">________________________________________________________________________________</w:t>
      </w:r>
    </w:p>
    <w:p w:rsidR="00000000" w:rsidDel="00000000" w:rsidP="00000000" w:rsidRDefault="00000000" w:rsidRPr="00000000" w14:paraId="00000075">
      <w:pPr>
        <w:spacing w:before="240" w:line="276" w:lineRule="auto"/>
        <w:jc w:val="both"/>
        <w:rPr>
          <w:b w:val="1"/>
        </w:rPr>
      </w:pPr>
      <w:r w:rsidDel="00000000" w:rsidR="00000000" w:rsidRPr="00000000">
        <w:rPr>
          <w:b w:val="1"/>
          <w:rtl w:val="0"/>
        </w:rPr>
        <w:t xml:space="preserve">SEZIONE 7</w:t>
      </w:r>
    </w:p>
    <w:p w:rsidR="00000000" w:rsidDel="00000000" w:rsidP="00000000" w:rsidRDefault="00000000" w:rsidRPr="00000000" w14:paraId="00000076">
      <w:pPr>
        <w:spacing w:line="276" w:lineRule="auto"/>
        <w:jc w:val="both"/>
        <w:rPr>
          <w:b w:val="1"/>
        </w:rPr>
      </w:pPr>
      <w:r w:rsidDel="00000000" w:rsidR="00000000" w:rsidRPr="00000000">
        <w:rPr>
          <w:b w:val="1"/>
          <w:rtl w:val="0"/>
        </w:rPr>
        <w:t xml:space="preserve">Modalità attuative dell’intervento di regolamentazione </w:t>
      </w:r>
    </w:p>
    <w:p w:rsidR="00000000" w:rsidDel="00000000" w:rsidP="00000000" w:rsidRDefault="00000000" w:rsidRPr="00000000" w14:paraId="00000077">
      <w:pPr>
        <w:spacing w:after="240" w:line="276" w:lineRule="auto"/>
        <w:jc w:val="both"/>
        <w:rPr>
          <w:b w:val="1"/>
        </w:rPr>
      </w:pPr>
      <w:r w:rsidDel="00000000" w:rsidR="00000000" w:rsidRPr="00000000">
        <w:rPr>
          <w:b w:val="1"/>
          <w:rtl w:val="0"/>
        </w:rPr>
        <w:t xml:space="preserve">________________________________________________________________________________</w:t>
      </w:r>
    </w:p>
    <w:p w:rsidR="00000000" w:rsidDel="00000000" w:rsidP="00000000" w:rsidRDefault="00000000" w:rsidRPr="00000000" w14:paraId="0000007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b w:val="1"/>
          <w:i w:val="1"/>
          <w:smallCaps w:val="0"/>
          <w:strike w:val="0"/>
          <w:color w:val="000000"/>
          <w:shd w:fill="auto" w:val="clear"/>
          <w:vertAlign w:val="baseline"/>
        </w:rPr>
      </w:pPr>
      <w:r w:rsidDel="00000000" w:rsidR="00000000" w:rsidRPr="00000000">
        <w:rPr>
          <w:b w:val="1"/>
          <w:i w:val="1"/>
          <w:smallCaps w:val="0"/>
          <w:strike w:val="0"/>
          <w:color w:val="000000"/>
          <w:u w:val="none"/>
          <w:shd w:fill="auto" w:val="clear"/>
          <w:vertAlign w:val="baseline"/>
          <w:rtl w:val="0"/>
        </w:rPr>
        <w:t xml:space="preserve">Soggetti responsabili dell’attuazione dell’intervento regolatorio</w:t>
      </w:r>
      <w:r w:rsidDel="00000000" w:rsidR="00000000" w:rsidRPr="00000000">
        <w:rPr>
          <w:rtl w:val="0"/>
        </w:rPr>
      </w:r>
    </w:p>
    <w:p w:rsidR="00000000" w:rsidDel="00000000" w:rsidP="00000000" w:rsidRDefault="00000000" w:rsidRPr="00000000" w14:paraId="00000079">
      <w:pPr>
        <w:spacing w:after="0" w:before="240" w:lineRule="auto"/>
        <w:jc w:val="both"/>
        <w:rPr/>
      </w:pPr>
      <w:r w:rsidDel="00000000" w:rsidR="00000000" w:rsidRPr="00000000">
        <w:rPr>
          <w:rtl w:val="0"/>
        </w:rPr>
        <w:t xml:space="preserve">Sono responsabili dell’attuazione delle disposizioni la Regione (Giunta regionale strutture amministrative competenti), con particolare riferimento all’adozione dei provvedimenti previsti all’articolo 3 della proposta, e gli enti pubblici economici/società partecipate regionali.</w:t>
      </w:r>
    </w:p>
    <w:p w:rsidR="00000000" w:rsidDel="00000000" w:rsidP="00000000" w:rsidRDefault="00000000" w:rsidRPr="00000000" w14:paraId="0000007A">
      <w:pPr>
        <w:spacing w:after="0" w:before="0" w:lineRule="auto"/>
        <w:jc w:val="both"/>
        <w:rPr/>
      </w:pPr>
      <w:r w:rsidDel="00000000" w:rsidR="00000000" w:rsidRPr="00000000">
        <w:rPr>
          <w:rtl w:val="0"/>
        </w:rPr>
      </w:r>
    </w:p>
    <w:p w:rsidR="00000000" w:rsidDel="00000000" w:rsidP="00000000" w:rsidRDefault="00000000" w:rsidRPr="00000000" w14:paraId="0000007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40" w:lineRule="auto"/>
        <w:ind w:left="360" w:right="0" w:hanging="360"/>
        <w:jc w:val="both"/>
        <w:rPr>
          <w:b w:val="1"/>
          <w:i w:val="1"/>
          <w:smallCaps w:val="0"/>
          <w:strike w:val="0"/>
          <w:color w:val="000000"/>
          <w:shd w:fill="auto" w:val="clear"/>
          <w:vertAlign w:val="baseline"/>
        </w:rPr>
      </w:pPr>
      <w:r w:rsidDel="00000000" w:rsidR="00000000" w:rsidRPr="00000000">
        <w:rPr>
          <w:b w:val="1"/>
          <w:i w:val="1"/>
          <w:rtl w:val="0"/>
        </w:rPr>
        <w:t xml:space="preserve">Azioni per la pubblicità e per l’informazione dell’intervento</w:t>
      </w: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pPr>
      <w:r w:rsidDel="00000000" w:rsidR="00000000" w:rsidRPr="00000000">
        <w:rPr>
          <w:rtl w:val="0"/>
        </w:rPr>
        <w:t xml:space="preserve">Si prevede la consueta pubblicazione nel Bollettino Ufficiale della Regione Campania.</w:t>
      </w:r>
    </w:p>
    <w:p w:rsidR="00000000" w:rsidDel="00000000" w:rsidP="00000000" w:rsidRDefault="00000000" w:rsidRPr="00000000" w14:paraId="0000007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b w:val="1"/>
          <w:i w:val="1"/>
          <w:smallCaps w:val="0"/>
          <w:strike w:val="0"/>
          <w:color w:val="000000"/>
          <w:shd w:fill="auto" w:val="clear"/>
          <w:vertAlign w:val="baseline"/>
        </w:rPr>
      </w:pPr>
      <w:r w:rsidDel="00000000" w:rsidR="00000000" w:rsidRPr="00000000">
        <w:rPr>
          <w:b w:val="1"/>
          <w:i w:val="1"/>
          <w:smallCaps w:val="0"/>
          <w:strike w:val="0"/>
          <w:color w:val="000000"/>
          <w:u w:val="none"/>
          <w:shd w:fill="auto" w:val="clear"/>
          <w:vertAlign w:val="baseline"/>
          <w:rtl w:val="0"/>
        </w:rPr>
        <w:t xml:space="preserve">Strumenti e modalità per il controllo e il monitoraggio dell’intervento regolatorio</w:t>
      </w:r>
      <w:r w:rsidDel="00000000" w:rsidR="00000000" w:rsidRPr="00000000">
        <w:rPr>
          <w:rtl w:val="0"/>
        </w:rPr>
      </w:r>
    </w:p>
    <w:p w:rsidR="00000000" w:rsidDel="00000000" w:rsidP="00000000" w:rsidRDefault="00000000" w:rsidRPr="00000000" w14:paraId="0000007E">
      <w:pPr>
        <w:spacing w:after="200" w:before="240" w:lineRule="auto"/>
        <w:jc w:val="both"/>
        <w:rPr/>
      </w:pPr>
      <w:r w:rsidDel="00000000" w:rsidR="00000000" w:rsidRPr="00000000">
        <w:rPr>
          <w:rtl w:val="0"/>
        </w:rPr>
        <w:t xml:space="preserve">L’articolo 3, comma 3, della proposta prevede che la Giunta regionale curi il monitoraggio sullo stato di attuazione dell’intervento normativo, riferendo alla commissione consiliare competente con cadenza annuale.</w:t>
      </w:r>
    </w:p>
    <w:p w:rsidR="00000000" w:rsidDel="00000000" w:rsidP="00000000" w:rsidRDefault="00000000" w:rsidRPr="00000000" w14:paraId="0000007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b w:val="1"/>
          <w:i w:val="1"/>
          <w:smallCaps w:val="0"/>
          <w:strike w:val="0"/>
          <w:color w:val="000000"/>
          <w:shd w:fill="auto" w:val="clear"/>
          <w:vertAlign w:val="baseline"/>
        </w:rPr>
      </w:pPr>
      <w:r w:rsidDel="00000000" w:rsidR="00000000" w:rsidRPr="00000000">
        <w:rPr>
          <w:b w:val="1"/>
          <w:i w:val="1"/>
          <w:smallCaps w:val="0"/>
          <w:strike w:val="0"/>
          <w:color w:val="000000"/>
          <w:u w:val="none"/>
          <w:shd w:fill="auto" w:val="clear"/>
          <w:vertAlign w:val="baseline"/>
          <w:rtl w:val="0"/>
        </w:rPr>
        <w:t xml:space="preserve">Meccanismi previsti per la revisione dell’intervento regolatorio</w:t>
      </w:r>
      <w:r w:rsidDel="00000000" w:rsidR="00000000" w:rsidRPr="00000000">
        <w:rPr>
          <w:rtl w:val="0"/>
        </w:rPr>
      </w:r>
    </w:p>
    <w:p w:rsidR="00000000" w:rsidDel="00000000" w:rsidP="00000000" w:rsidRDefault="00000000" w:rsidRPr="00000000" w14:paraId="00000080">
      <w:pPr>
        <w:spacing w:before="200" w:lineRule="auto"/>
        <w:jc w:val="both"/>
        <w:rPr/>
      </w:pPr>
      <w:r w:rsidDel="00000000" w:rsidR="00000000" w:rsidRPr="00000000">
        <w:rPr>
          <w:rtl w:val="0"/>
        </w:rPr>
        <w:t xml:space="preserve">Non sono contemplati specifici meccanismi di revisione dell’articolato. Gli interventi che si dovessero rendere necessari per integrare l’impianto normativo potranno essere realizzati attraverso successive modificazioni normative o, nei casi in cui è previsto, attraverso provvedimenti di dettaglio demandati alla Giunta regionale.</w:t>
      </w:r>
    </w:p>
    <w:p w:rsidR="00000000" w:rsidDel="00000000" w:rsidP="00000000" w:rsidRDefault="00000000" w:rsidRPr="00000000" w14:paraId="00000081">
      <w:pPr>
        <w:spacing w:line="276" w:lineRule="auto"/>
        <w:jc w:val="both"/>
        <w:rPr>
          <w:b w:val="1"/>
        </w:rPr>
      </w:pPr>
      <w:r w:rsidDel="00000000" w:rsidR="00000000" w:rsidRPr="00000000">
        <w:rPr>
          <w:b w:val="1"/>
          <w:rtl w:val="0"/>
        </w:rPr>
        <w:t xml:space="preserve">________________________________________________________________________________</w:t>
      </w:r>
    </w:p>
    <w:p w:rsidR="00000000" w:rsidDel="00000000" w:rsidP="00000000" w:rsidRDefault="00000000" w:rsidRPr="00000000" w14:paraId="00000082">
      <w:pPr>
        <w:spacing w:before="240" w:line="276" w:lineRule="auto"/>
        <w:jc w:val="both"/>
        <w:rPr>
          <w:b w:val="1"/>
        </w:rPr>
      </w:pPr>
      <w:r w:rsidDel="00000000" w:rsidR="00000000" w:rsidRPr="00000000">
        <w:rPr>
          <w:b w:val="1"/>
          <w:rtl w:val="0"/>
        </w:rPr>
        <w:t xml:space="preserve">SEZIONE 8</w:t>
      </w:r>
    </w:p>
    <w:p w:rsidR="00000000" w:rsidDel="00000000" w:rsidP="00000000" w:rsidRDefault="00000000" w:rsidRPr="00000000" w14:paraId="00000083">
      <w:pPr>
        <w:spacing w:line="276" w:lineRule="auto"/>
        <w:jc w:val="both"/>
        <w:rPr>
          <w:b w:val="1"/>
        </w:rPr>
      </w:pPr>
      <w:r w:rsidDel="00000000" w:rsidR="00000000" w:rsidRPr="00000000">
        <w:rPr>
          <w:b w:val="1"/>
          <w:rtl w:val="0"/>
        </w:rPr>
        <w:t xml:space="preserve">Rispetto dei livelli minimi di regolazione europea</w:t>
      </w:r>
    </w:p>
    <w:p w:rsidR="00000000" w:rsidDel="00000000" w:rsidP="00000000" w:rsidRDefault="00000000" w:rsidRPr="00000000" w14:paraId="00000084">
      <w:pPr>
        <w:spacing w:after="240" w:line="276" w:lineRule="auto"/>
        <w:jc w:val="both"/>
        <w:rPr>
          <w:b w:val="1"/>
        </w:rPr>
      </w:pPr>
      <w:r w:rsidDel="00000000" w:rsidR="00000000" w:rsidRPr="00000000">
        <w:rPr>
          <w:b w:val="1"/>
          <w:rtl w:val="0"/>
        </w:rPr>
        <w:t xml:space="preserve">________________________________________________________________________________</w:t>
      </w:r>
    </w:p>
    <w:p w:rsidR="00000000" w:rsidDel="00000000" w:rsidP="00000000" w:rsidRDefault="00000000" w:rsidRPr="00000000" w14:paraId="00000085">
      <w:pPr>
        <w:jc w:val="both"/>
        <w:rPr/>
      </w:pPr>
      <w:r w:rsidDel="00000000" w:rsidR="00000000" w:rsidRPr="00000000">
        <w:rPr>
          <w:rtl w:val="0"/>
        </w:rPr>
        <w:t xml:space="preserve">L’intervento regolatorio rispetta i livelli minimi di regolazione europea, non introducendo requisiti tecnici, obblighi e oneri di portata superiore rispetto a quanto già previsto.</w:t>
      </w:r>
    </w:p>
    <w:sectPr>
      <w:headerReference r:id="rId7" w:type="default"/>
      <w:headerReference r:id="rId8" w:type="first"/>
      <w:footerReference r:id="rId9" w:type="default"/>
      <w:pgSz w:h="16838" w:w="11906" w:orient="portrait"/>
      <w:pgMar w:bottom="1134" w:top="1417" w:left="1134" w:right="1134"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Georgia"/>
  <w:font w:name="Century Schoolbook">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entury Schoolbook" w:cs="Century Schoolbook" w:eastAsia="Century Schoolbook" w:hAnsi="Century Schoolbook"/>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drawing>
        <wp:anchor allowOverlap="1" behindDoc="0" distB="0" distT="0" distL="114300" distR="114300" hidden="0" layoutInCell="1" locked="0" relativeHeight="0" simplePos="0">
          <wp:simplePos x="0" y="0"/>
          <wp:positionH relativeFrom="margin">
            <wp:align>center</wp:align>
          </wp:positionH>
          <wp:positionV relativeFrom="page">
            <wp:posOffset>448310</wp:posOffset>
          </wp:positionV>
          <wp:extent cx="2172018" cy="1126565"/>
          <wp:effectExtent b="0" l="0" r="0" t="0"/>
          <wp:wrapNone/>
          <wp:docPr id="19" name="image1.jpg"/>
          <a:graphic>
            <a:graphicData uri="http://schemas.openxmlformats.org/drawingml/2006/picture">
              <pic:pic>
                <pic:nvPicPr>
                  <pic:cNvPr id="0" name="image1.jpg"/>
                  <pic:cNvPicPr preferRelativeResize="0"/>
                </pic:nvPicPr>
                <pic:blipFill>
                  <a:blip r:embed="rId1"/>
                  <a:srcRect b="41608" l="13893" r="13588" t="13490"/>
                  <a:stretch>
                    <a:fillRect/>
                  </a:stretch>
                </pic:blipFill>
                <pic:spPr>
                  <a:xfrm>
                    <a:off x="0" y="0"/>
                    <a:ext cx="2172018" cy="1126565"/>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E">
    <w:pPr>
      <w:tabs>
        <w:tab w:val="left" w:leader="none" w:pos="6490"/>
      </w:tabs>
      <w:rPr>
        <w:sz w:val="23"/>
        <w:szCs w:val="23"/>
      </w:rPr>
    </w:pPr>
    <w:r w:rsidDel="00000000" w:rsidR="00000000" w:rsidRPr="00000000">
      <w:rPr>
        <w:sz w:val="23"/>
        <w:szCs w:val="23"/>
        <w:rtl w:val="0"/>
      </w:rPr>
      <w:tab/>
    </w:r>
    <w:r w:rsidDel="00000000" w:rsidR="00000000" w:rsidRPr="00000000">
      <w:drawing>
        <wp:anchor allowOverlap="1" behindDoc="1" distB="0" distT="0" distL="0" distR="0" hidden="0" layoutInCell="1" locked="0" relativeHeight="0" simplePos="0">
          <wp:simplePos x="0" y="0"/>
          <wp:positionH relativeFrom="column">
            <wp:posOffset>2019300</wp:posOffset>
          </wp:positionH>
          <wp:positionV relativeFrom="paragraph">
            <wp:posOffset>101268</wp:posOffset>
          </wp:positionV>
          <wp:extent cx="2172018" cy="1126565"/>
          <wp:effectExtent b="0" l="0" r="0" t="0"/>
          <wp:wrapNone/>
          <wp:docPr id="18" name="image1.jpg"/>
          <a:graphic>
            <a:graphicData uri="http://schemas.openxmlformats.org/drawingml/2006/picture">
              <pic:pic>
                <pic:nvPicPr>
                  <pic:cNvPr id="0" name="image1.jpg"/>
                  <pic:cNvPicPr preferRelativeResize="0"/>
                </pic:nvPicPr>
                <pic:blipFill>
                  <a:blip r:embed="rId1"/>
                  <a:srcRect b="41608" l="13893" r="13588" t="13490"/>
                  <a:stretch>
                    <a:fillRect/>
                  </a:stretch>
                </pic:blipFill>
                <pic:spPr>
                  <a:xfrm>
                    <a:off x="0" y="0"/>
                    <a:ext cx="2172018" cy="1126565"/>
                  </a:xfrm>
                  <a:prstGeom prst="rect"/>
                  <a:ln/>
                </pic:spPr>
              </pic:pic>
            </a:graphicData>
          </a:graphic>
        </wp:anchor>
      </w:drawing>
    </w:r>
  </w:p>
  <w:p w:rsidR="00000000" w:rsidDel="00000000" w:rsidP="00000000" w:rsidRDefault="00000000" w:rsidRPr="00000000" w14:paraId="0000008F">
    <w:pPr>
      <w:tabs>
        <w:tab w:val="left" w:leader="none" w:pos="6490"/>
      </w:tabs>
      <w:rPr>
        <w:sz w:val="23"/>
        <w:szCs w:val="23"/>
      </w:rPr>
    </w:pPr>
    <w:r w:rsidDel="00000000" w:rsidR="00000000" w:rsidRPr="00000000">
      <w:rPr>
        <w:rtl w:val="0"/>
      </w:rPr>
    </w:r>
  </w:p>
  <w:p w:rsidR="00000000" w:rsidDel="00000000" w:rsidP="00000000" w:rsidRDefault="00000000" w:rsidRPr="00000000" w14:paraId="00000090">
    <w:pPr>
      <w:tabs>
        <w:tab w:val="left" w:leader="none" w:pos="6490"/>
      </w:tabs>
      <w:rPr>
        <w:sz w:val="23"/>
        <w:szCs w:val="23"/>
      </w:rPr>
    </w:pPr>
    <w:r w:rsidDel="00000000" w:rsidR="00000000" w:rsidRPr="00000000">
      <w:rPr>
        <w:rtl w:val="0"/>
      </w:rPr>
    </w:r>
  </w:p>
  <w:p w:rsidR="00000000" w:rsidDel="00000000" w:rsidP="00000000" w:rsidRDefault="00000000" w:rsidRPr="00000000" w14:paraId="00000091">
    <w:pPr>
      <w:tabs>
        <w:tab w:val="left" w:leader="none" w:pos="6490"/>
      </w:tabs>
      <w:rPr>
        <w:sz w:val="23"/>
        <w:szCs w:val="23"/>
      </w:rPr>
    </w:pPr>
    <w:r w:rsidDel="00000000" w:rsidR="00000000" w:rsidRPr="00000000">
      <w:rPr>
        <w:rtl w:val="0"/>
      </w:rPr>
    </w:r>
  </w:p>
  <w:p w:rsidR="00000000" w:rsidDel="00000000" w:rsidP="00000000" w:rsidRDefault="00000000" w:rsidRPr="00000000" w14:paraId="00000092">
    <w:pPr>
      <w:tabs>
        <w:tab w:val="left" w:leader="none" w:pos="6490"/>
      </w:tabs>
      <w:rPr>
        <w:sz w:val="23"/>
        <w:szCs w:val="23"/>
      </w:rPr>
    </w:pPr>
    <w:r w:rsidDel="00000000" w:rsidR="00000000" w:rsidRPr="00000000">
      <w:rPr>
        <w:rtl w:val="0"/>
      </w:rPr>
    </w:r>
  </w:p>
  <w:p w:rsidR="00000000" w:rsidDel="00000000" w:rsidP="00000000" w:rsidRDefault="00000000" w:rsidRPr="00000000" w14:paraId="00000093">
    <w:pPr>
      <w:tabs>
        <w:tab w:val="left" w:leader="none" w:pos="6490"/>
      </w:tabs>
      <w:rPr>
        <w:sz w:val="23"/>
        <w:szCs w:val="23"/>
      </w:rPr>
    </w:pPr>
    <w:r w:rsidDel="00000000" w:rsidR="00000000" w:rsidRPr="00000000">
      <w:rPr>
        <w:rtl w:val="0"/>
      </w:rPr>
    </w:r>
  </w:p>
  <w:p w:rsidR="00000000" w:rsidDel="00000000" w:rsidP="00000000" w:rsidRDefault="00000000" w:rsidRPr="00000000" w14:paraId="00000094">
    <w:pPr>
      <w:tabs>
        <w:tab w:val="left" w:leader="none" w:pos="6490"/>
      </w:tabs>
      <w:rPr>
        <w:sz w:val="23"/>
        <w:szCs w:val="23"/>
      </w:rPr>
    </w:pPr>
    <w:r w:rsidDel="00000000" w:rsidR="00000000" w:rsidRPr="00000000">
      <w:rPr>
        <w:rtl w:val="0"/>
      </w:rPr>
    </w:r>
  </w:p>
  <w:p w:rsidR="00000000" w:rsidDel="00000000" w:rsidP="00000000" w:rsidRDefault="00000000" w:rsidRPr="00000000" w14:paraId="00000095">
    <w:pPr>
      <w:jc w:val="left"/>
      <w:rPr>
        <w:sz w:val="23"/>
        <w:szCs w:val="23"/>
      </w:rPr>
    </w:pPr>
    <w:r w:rsidDel="00000000" w:rsidR="00000000" w:rsidRPr="00000000">
      <w:rPr>
        <w:rtl w:val="0"/>
      </w:rPr>
    </w:r>
  </w:p>
  <w:p w:rsidR="00000000" w:rsidDel="00000000" w:rsidP="00000000" w:rsidRDefault="00000000" w:rsidRPr="00000000" w14:paraId="00000096">
    <w:pPr>
      <w:jc w:val="center"/>
      <w:rPr>
        <w:sz w:val="23"/>
        <w:szCs w:val="23"/>
      </w:rPr>
    </w:pPr>
    <w:r w:rsidDel="00000000" w:rsidR="00000000" w:rsidRPr="00000000">
      <w:rPr>
        <w:rtl w:val="0"/>
      </w:rPr>
    </w:r>
  </w:p>
  <w:p w:rsidR="00000000" w:rsidDel="00000000" w:rsidP="00000000" w:rsidRDefault="00000000" w:rsidRPr="00000000" w14:paraId="00000097">
    <w:pPr>
      <w:jc w:val="cente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
    <w:lvl w:ilvl="0">
      <w:start w:val="1"/>
      <w:numFmt w:val="lowerLetter"/>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
    <w:lvl w:ilvl="0">
      <w:start w:val="1"/>
      <w:numFmt w:val="lowerLetter"/>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4">
    <w:lvl w:ilvl="0">
      <w:start w:val="1"/>
      <w:numFmt w:val="lowerLetter"/>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5">
    <w:lvl w:ilvl="0">
      <w:start w:val="1"/>
      <w:numFmt w:val="lowerLetter"/>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6">
    <w:lvl w:ilvl="0">
      <w:start w:val="1"/>
      <w:numFmt w:val="lowerLetter"/>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jc w:val="center"/>
    </w:pPr>
    <w:rPr>
      <w:i w:val="1"/>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Times New Roman" w:cs="Times New Roman" w:eastAsia="Times New Roman" w:hAnsi="Times New Roman"/>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Times New Roman" w:cs="Times New Roman" w:eastAsia="Times New Roman" w:hAnsi="Times New Roman"/>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jc w:val="center"/>
    </w:pPr>
    <w:rPr>
      <w:i w:val="1"/>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Times New Roman" w:cs="Times New Roman" w:eastAsia="Times New Roman" w:hAnsi="Times New Roman"/>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Times New Roman" w:cs="Times New Roman" w:eastAsia="Times New Roman" w:hAnsi="Times New Roman"/>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jc w:val="center"/>
    </w:pPr>
    <w:rPr>
      <w:i w:val="1"/>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Times New Roman" w:cs="Times New Roman" w:eastAsia="Times New Roman" w:hAnsi="Times New Roman"/>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Times New Roman" w:cs="Times New Roman" w:eastAsia="Times New Roman" w:hAnsi="Times New Roman"/>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jc w:val="center"/>
    </w:pPr>
    <w:rPr>
      <w:i w:val="1"/>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Times New Roman" w:cs="Times New Roman" w:eastAsia="Times New Roman" w:hAnsi="Times New Roman"/>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Times New Roman" w:cs="Times New Roman" w:eastAsia="Times New Roman" w:hAnsi="Times New Roman"/>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jc w:val="center"/>
    </w:pPr>
    <w:rPr>
      <w:i w:val="1"/>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Times New Roman" w:cs="Times New Roman" w:eastAsia="Times New Roman" w:hAnsi="Times New Roman"/>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Times New Roman" w:cs="Times New Roman" w:eastAsia="Times New Roman" w:hAnsi="Times New Roman"/>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jc w:val="center"/>
    </w:pPr>
    <w:rPr>
      <w:i w:val="1"/>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Times New Roman" w:cs="Times New Roman" w:eastAsia="Times New Roman" w:hAnsi="Times New Roman"/>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Times New Roman" w:cs="Times New Roman" w:eastAsia="Times New Roman" w:hAnsi="Times New Roman"/>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jc w:val="center"/>
    </w:pPr>
    <w:rPr>
      <w:i w:val="1"/>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Times New Roman" w:cs="Times New Roman" w:eastAsia="Times New Roman" w:hAnsi="Times New Roman"/>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Times New Roman" w:cs="Times New Roman" w:eastAsia="Times New Roman" w:hAnsi="Times New Roman"/>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jc w:val="center"/>
    </w:pPr>
    <w:rPr>
      <w:i w:val="1"/>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e" w:default="1">
    <w:name w:val="Normal"/>
    <w:qFormat w:val="1"/>
    <w:rsid w:val="00292B6D"/>
    <w:pPr>
      <w:spacing w:after="0" w:line="240" w:lineRule="auto"/>
    </w:pPr>
    <w:rPr>
      <w:rFonts w:ascii="Times New Roman" w:cs="Times New Roman" w:hAnsi="Times New Roman"/>
      <w:sz w:val="24"/>
      <w:szCs w:val="24"/>
      <w:lang w:eastAsia="it-IT"/>
    </w:rPr>
  </w:style>
  <w:style w:type="paragraph" w:styleId="Titolo1">
    <w:name w:val="heading 1"/>
    <w:basedOn w:val="Normale"/>
    <w:link w:val="Titolo1Carattere"/>
    <w:uiPriority w:val="9"/>
    <w:qFormat w:val="1"/>
    <w:rsid w:val="00E94C63"/>
    <w:pPr>
      <w:keepNext w:val="1"/>
      <w:jc w:val="center"/>
      <w:outlineLvl w:val="0"/>
    </w:pPr>
    <w:rPr>
      <w:i w:val="1"/>
      <w:iCs w:val="1"/>
      <w:kern w:val="36"/>
    </w:rPr>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character" w:styleId="Titolo1Carattere" w:customStyle="1">
    <w:name w:val="Titolo 1 Carattere"/>
    <w:basedOn w:val="Carpredefinitoparagrafo"/>
    <w:link w:val="Titolo1"/>
    <w:uiPriority w:val="9"/>
    <w:rsid w:val="00E94C63"/>
    <w:rPr>
      <w:rFonts w:ascii="Times New Roman" w:cs="Times New Roman" w:hAnsi="Times New Roman"/>
      <w:i w:val="1"/>
      <w:iCs w:val="1"/>
      <w:kern w:val="36"/>
      <w:sz w:val="24"/>
      <w:szCs w:val="24"/>
      <w:lang w:eastAsia="it-IT"/>
    </w:rPr>
  </w:style>
  <w:style w:type="paragraph" w:styleId="NormaleWeb">
    <w:name w:val="Normal (Web)"/>
    <w:basedOn w:val="Normale"/>
    <w:uiPriority w:val="99"/>
    <w:semiHidden w:val="1"/>
    <w:unhideWhenUsed w:val="1"/>
    <w:rsid w:val="00E94C63"/>
    <w:pPr>
      <w:spacing w:after="100" w:afterAutospacing="1" w:before="100" w:beforeAutospacing="1"/>
    </w:pPr>
  </w:style>
  <w:style w:type="character" w:styleId="apple-converted-space" w:customStyle="1">
    <w:name w:val="apple-converted-space"/>
    <w:basedOn w:val="Carpredefinitoparagrafo"/>
    <w:rsid w:val="00E94C63"/>
  </w:style>
  <w:style w:type="character" w:styleId="Enfasigrassetto">
    <w:name w:val="Strong"/>
    <w:basedOn w:val="Carpredefinitoparagrafo"/>
    <w:uiPriority w:val="22"/>
    <w:qFormat w:val="1"/>
    <w:rsid w:val="00E94C63"/>
    <w:rPr>
      <w:b w:val="1"/>
      <w:bCs w:val="1"/>
    </w:rPr>
  </w:style>
  <w:style w:type="paragraph" w:styleId="Testofumetto">
    <w:name w:val="Balloon Text"/>
    <w:basedOn w:val="Normale"/>
    <w:link w:val="TestofumettoCarattere"/>
    <w:uiPriority w:val="99"/>
    <w:semiHidden w:val="1"/>
    <w:unhideWhenUsed w:val="1"/>
    <w:rsid w:val="00BD0792"/>
    <w:rPr>
      <w:rFonts w:ascii="Segoe UI" w:cs="Segoe UI" w:hAnsi="Segoe UI"/>
      <w:sz w:val="18"/>
      <w:szCs w:val="18"/>
    </w:rPr>
  </w:style>
  <w:style w:type="character" w:styleId="TestofumettoCarattere" w:customStyle="1">
    <w:name w:val="Testo fumetto Carattere"/>
    <w:basedOn w:val="Carpredefinitoparagrafo"/>
    <w:link w:val="Testofumetto"/>
    <w:uiPriority w:val="99"/>
    <w:semiHidden w:val="1"/>
    <w:rsid w:val="00BD0792"/>
    <w:rPr>
      <w:rFonts w:ascii="Segoe UI" w:cs="Segoe UI" w:hAnsi="Segoe UI"/>
      <w:sz w:val="18"/>
      <w:szCs w:val="18"/>
      <w:lang w:eastAsia="it-IT"/>
    </w:rPr>
  </w:style>
  <w:style w:type="paragraph" w:styleId="Intestazione">
    <w:name w:val="header"/>
    <w:basedOn w:val="Normale"/>
    <w:link w:val="IntestazioneCarattere"/>
    <w:uiPriority w:val="99"/>
    <w:unhideWhenUsed w:val="1"/>
    <w:rsid w:val="00800A33"/>
    <w:pPr>
      <w:tabs>
        <w:tab w:val="center" w:pos="4819"/>
        <w:tab w:val="right" w:pos="9638"/>
      </w:tabs>
    </w:pPr>
  </w:style>
  <w:style w:type="character" w:styleId="IntestazioneCarattere" w:customStyle="1">
    <w:name w:val="Intestazione Carattere"/>
    <w:basedOn w:val="Carpredefinitoparagrafo"/>
    <w:link w:val="Intestazione"/>
    <w:uiPriority w:val="99"/>
    <w:rsid w:val="00800A33"/>
    <w:rPr>
      <w:rFonts w:ascii="Times New Roman" w:cs="Times New Roman" w:hAnsi="Times New Roman"/>
      <w:sz w:val="24"/>
      <w:szCs w:val="24"/>
      <w:lang w:eastAsia="it-IT"/>
    </w:rPr>
  </w:style>
  <w:style w:type="paragraph" w:styleId="Pidipagina">
    <w:name w:val="footer"/>
    <w:basedOn w:val="Normale"/>
    <w:link w:val="PidipaginaCarattere"/>
    <w:uiPriority w:val="99"/>
    <w:unhideWhenUsed w:val="1"/>
    <w:rsid w:val="00800A33"/>
    <w:pPr>
      <w:tabs>
        <w:tab w:val="center" w:pos="4819"/>
        <w:tab w:val="right" w:pos="9638"/>
      </w:tabs>
    </w:pPr>
  </w:style>
  <w:style w:type="character" w:styleId="PidipaginaCarattere" w:customStyle="1">
    <w:name w:val="Piè di pagina Carattere"/>
    <w:basedOn w:val="Carpredefinitoparagrafo"/>
    <w:link w:val="Pidipagina"/>
    <w:uiPriority w:val="99"/>
    <w:rsid w:val="00800A33"/>
    <w:rPr>
      <w:rFonts w:ascii="Times New Roman" w:cs="Times New Roman" w:hAnsi="Times New Roman"/>
      <w:sz w:val="24"/>
      <w:szCs w:val="24"/>
      <w:lang w:eastAsia="it-IT"/>
    </w:rPr>
  </w:style>
  <w:style w:type="table" w:styleId="Grigliatabella">
    <w:name w:val="Table Grid"/>
    <w:basedOn w:val="Tabellanormale"/>
    <w:uiPriority w:val="39"/>
    <w:rsid w:val="000C24E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aragrafoelenco">
    <w:name w:val="List Paragraph"/>
    <w:basedOn w:val="Normale"/>
    <w:uiPriority w:val="34"/>
    <w:qFormat w:val="1"/>
    <w:rsid w:val="003B6B81"/>
    <w:pPr>
      <w:ind w:left="720"/>
      <w:contextualSpacing w:val="1"/>
    </w:pPr>
  </w:style>
  <w:style w:type="character" w:styleId="MSGENFONTSTYLENAMETEMPLATEROLENUMBERMSGENFONTSTYLENAMEBYROLETEXT2" w:customStyle="1">
    <w:name w:val="MSG_EN_FONT_STYLE_NAME_TEMPLATE_ROLE_NUMBER MSG_EN_FONT_STYLE_NAME_BY_ROLE_TEXT 2_"/>
    <w:basedOn w:val="Carpredefinitoparagrafo"/>
    <w:rsid w:val="00DD09D8"/>
    <w:rPr>
      <w:b w:val="0"/>
      <w:bCs w:val="0"/>
      <w:i w:val="0"/>
      <w:iCs w:val="0"/>
      <w:smallCaps w:val="0"/>
      <w:strike w:val="0"/>
      <w:u w:val="none"/>
    </w:rPr>
  </w:style>
  <w:style w:type="character" w:styleId="MSGENFONTSTYLENAMETEMPLATEROLENUMBERMSGENFONTSTYLENAMEBYROLETEXT20" w:customStyle="1">
    <w:name w:val="MSG_EN_FONT_STYLE_NAME_TEMPLATE_ROLE_NUMBER MSG_EN_FONT_STYLE_NAME_BY_ROLE_TEXT 2"/>
    <w:basedOn w:val="MSGENFONTSTYLENAMETEMPLATEROLENUMBERMSGENFONTSTYLENAMEBYROLETEXT2"/>
    <w:rsid w:val="00DD09D8"/>
    <w:rPr>
      <w:rFonts w:ascii="Times New Roman" w:cs="Times New Roman" w:eastAsia="Times New Roman" w:hAnsi="Times New Roman"/>
      <w:b w:val="0"/>
      <w:bCs w:val="0"/>
      <w:i w:val="0"/>
      <w:iCs w:val="0"/>
      <w:smallCaps w:val="0"/>
      <w:strike w:val="0"/>
      <w:color w:val="1c1c1c"/>
      <w:spacing w:val="0"/>
      <w:w w:val="100"/>
      <w:position w:val="0"/>
      <w:sz w:val="24"/>
      <w:szCs w:val="24"/>
      <w:u w:val="none"/>
      <w:lang w:bidi="it-IT" w:eastAsia="it-IT" w:val="it-IT"/>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CenturySchoolbook-regular.ttf"/><Relationship Id="rId2" Type="http://schemas.openxmlformats.org/officeDocument/2006/relationships/font" Target="fonts/CenturySchoolbook-bold.ttf"/><Relationship Id="rId3" Type="http://schemas.openxmlformats.org/officeDocument/2006/relationships/font" Target="fonts/CenturySchoolbook-italic.ttf"/><Relationship Id="rId4" Type="http://schemas.openxmlformats.org/officeDocument/2006/relationships/font" Target="fonts/CenturySchoolbook-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X4Y7rqToj3F1HZZ6uSx+Wn1v2A==">CgMxLjA4AHIhMXFuZG5QLWZXbUdJX3gxdTQ0NVZmV0owVVFrNDYxQVp0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2021-01-29T15:26:00Z</dcterms:created>
  <dc:creator>Mocerino Carmine Staff</dc:creator>
</cp:coreProperties>
</file>