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5DEAB" w14:textId="48CA48C1" w:rsidR="00E06634" w:rsidRPr="00E06634" w:rsidRDefault="00E06634" w:rsidP="00E06634">
      <w:pPr>
        <w:jc w:val="center"/>
        <w:rPr>
          <w:rFonts w:ascii="Times New Roman" w:hAnsi="Times New Roman" w:cs="Times New Roman"/>
          <w:b/>
          <w:bCs/>
          <w:sz w:val="24"/>
          <w:szCs w:val="24"/>
        </w:rPr>
      </w:pPr>
      <w:r w:rsidRPr="00E06634">
        <w:rPr>
          <w:rFonts w:ascii="Times New Roman" w:hAnsi="Times New Roman" w:cs="Times New Roman"/>
          <w:b/>
          <w:bCs/>
          <w:sz w:val="24"/>
          <w:szCs w:val="24"/>
        </w:rPr>
        <w:t>RELAZIONE ILLUSTRATIVA</w:t>
      </w:r>
    </w:p>
    <w:p w14:paraId="0FEC1EFD"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 xml:space="preserve">La Campania secondo il rapporto stilato dalla Fondazione Migrantes “perde” nell’anno 2022 circa il 7,1% di corregionali che sceglie di partire per l’estero. Di questi poco più di un terzo sono in Europa (in particolare in Germania), un altro terzo in America Latina (in particolare in Argentina, Brasile meridionale e a distanza l'Uruguay). L'altro terzo, all'incirca, risiede nell'America settentrionale, soprattutto negli Stati Uniti e in misura minore nel Canada. Un'altra parte ancora di cittadini campani risulta suddivisa tra l'Africa (soprattutto meridionale) ed alcuni paesi asiatici. Secondo la fotografia curata dal rapporto </w:t>
      </w:r>
      <w:proofErr w:type="gramStart"/>
      <w:r w:rsidRPr="00E06634">
        <w:rPr>
          <w:rFonts w:ascii="Times New Roman" w:hAnsi="Times New Roman" w:cs="Times New Roman"/>
          <w:sz w:val="24"/>
          <w:szCs w:val="24"/>
        </w:rPr>
        <w:t>Italiani</w:t>
      </w:r>
      <w:proofErr w:type="gramEnd"/>
      <w:r w:rsidRPr="00E06634">
        <w:rPr>
          <w:rFonts w:ascii="Times New Roman" w:hAnsi="Times New Roman" w:cs="Times New Roman"/>
          <w:sz w:val="24"/>
          <w:szCs w:val="24"/>
        </w:rPr>
        <w:t xml:space="preserve"> nel Mondo 2022, curato dalla citata Fondazione Migrantes, chi parte dalla Campania è prevalentemente maschio e giovane tra i 18 e i 34 anni o giovane adulto (tra i 35 e i 49 anni) e la Campania si colloca al quinto posto ai fini del fenomeno migratorio in Italia.</w:t>
      </w:r>
    </w:p>
    <w:p w14:paraId="706D93B8"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Le comunità campane, nella loro articolazione geografica e socioeconomica, rappresentano per la nostra Regione (ma anche per le aree di insediamento all'estero) una risorsa specifica, giacché con la loro operosità contribuiscono a produrre ricchezza nei diversi contesti di insediamento, ossia nel paese dove sviluppano il progetto migratorio e nel paese/Regione dalla quale provengono, cioè la Campania e in particolare il paese di esodo.</w:t>
      </w:r>
    </w:p>
    <w:p w14:paraId="36C8E272"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In questa ottica, con la presente proposta di legge, si intende promuovere e valorizzare la cultura e le tradizioni campane, di sviluppare una rete di relazioni tra le diverse comunità all’estero e la Campania e provvedere ad una comunicazione capillare del patrimonio materiale e immateriale della Regione Campania. Si pone, altresì, l’obiettivo di rafforzare il sentimento di appartenenza dei nostri corregionali all’estero, al fine di incentivare progetti di co-sviluppo per supportare un “turismo di ritorno”.</w:t>
      </w:r>
    </w:p>
    <w:p w14:paraId="53A3F8C5"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Ed invero, la proposta, da un lato, sostiene interventi mirati rivolti al consolidamento delle relazioni dei cittadini campani con le istituzioni (locali e nazionali) e i cittadini autoctoni con le quali interloquiscono nei diversi contesti di stabilizzazione, al fine di favorire la diffusione e la conoscenza della lingua e delle tradizioni italiane e campane in particolare, nonché della storia, della cultura nelle sue differenti espressioni. S’intendono quindi favorire e realizzare scambi di esperienze nella considerazione che ciascuna associazione nel suo insieme (ma anche i singoli cittadini) è da considerarsi come un “ambasciatore della Campania” in quanto agente di trasmissione culturale e di diffusione dell’immagine campana all’estero.</w:t>
      </w:r>
    </w:p>
    <w:p w14:paraId="548B70BC" w14:textId="77777777" w:rsidR="00E06634" w:rsidRPr="00E06634" w:rsidRDefault="00E06634" w:rsidP="00E06634">
      <w:pPr>
        <w:jc w:val="both"/>
        <w:rPr>
          <w:rFonts w:ascii="Times New Roman" w:hAnsi="Times New Roman" w:cs="Times New Roman"/>
          <w:sz w:val="24"/>
          <w:szCs w:val="24"/>
        </w:rPr>
      </w:pPr>
      <w:proofErr w:type="gramStart"/>
      <w:r w:rsidRPr="00E06634">
        <w:rPr>
          <w:rFonts w:ascii="Times New Roman" w:hAnsi="Times New Roman" w:cs="Times New Roman"/>
          <w:sz w:val="24"/>
          <w:szCs w:val="24"/>
        </w:rPr>
        <w:t>E'</w:t>
      </w:r>
      <w:proofErr w:type="gramEnd"/>
      <w:r w:rsidRPr="00E06634">
        <w:rPr>
          <w:rFonts w:ascii="Times New Roman" w:hAnsi="Times New Roman" w:cs="Times New Roman"/>
          <w:sz w:val="24"/>
          <w:szCs w:val="24"/>
        </w:rPr>
        <w:t xml:space="preserve"> con questa visuale che la proposta di legge cerca di apportare delle novità alla legge regionale n. 2/96, finalizzate a favorire l'attivazione di forme nuove di associazionismo capaci di svolgere azioni multidimensionali, tra cui anche la promozione/costituzione diretta di società cooperative o società di altra natura sia commerciale che culturale-scientifica. Queste ultime potranno contribuire anche a rafforzare economicamente le stesse associazioni oppure, una volta formate dalle medesime associazioni, svolgere un percorso autonomo e indipendente di natura economica ed imprenditoriale mediante l'utilizzazione delle risorse pubbliche e private operanti nella regione Campania.</w:t>
      </w:r>
    </w:p>
    <w:p w14:paraId="0470CDF8"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In tale prospettiva appare non secondaria la nomina di "Osservatori-Paese", come specificato nell' articolo 7, ossia dei consulenti, nominati dai consiglieri locali, esperti nelle discipline sociali ed economiche con compiti di monitoraggio e valutazione dell'impatto conseguito dai progetti finanziati dalla Giunta regionale.</w:t>
      </w:r>
    </w:p>
    <w:p w14:paraId="769A4542"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lastRenderedPageBreak/>
        <w:t>Si è ritenuto opportuno aggiornare il metodo di riconoscimento delle Associazioni. La novità sostanziale apportata è il riconoscimento delle Associazioni formate da soci che siano in prevalenza di origine campana, mentre la vecchia Legge 2/96 consentiva il riconoscimento solo alle Associazioni aventi iscritti esclusivamente di origine campana; cambiamento che diventa necessario in quanto le nostre comunità vanno perdendo una parte della propria identità regionale, pur rimanendo inalterata quella italiana, dovuto ai matrimoni misti, alla lunghezza della permanenza in Stati esteri, all'aggregazione di cittadini italiani provenienti da altre regioni.</w:t>
      </w:r>
    </w:p>
    <w:p w14:paraId="175FEE97"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Per contribuire a rendere le Associazioni economicamente più indipendenti, tra i contributi che la Regione può riconoscere alle stesse, sono stati inseriti anche quelli da finalizzare alla ristrutturazione delle sedi sociali.</w:t>
      </w:r>
    </w:p>
    <w:p w14:paraId="5650C2D6"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 xml:space="preserve">Altre innovazioni riguardano la denominazione e la composizione dell'organismo consultivo dei Cittadini campani all'estero. Il cambio di denominazione da Consulta Regionale dell'emigrazione a Consiglio Generale Regionale per i Cittadini Campani all'estero non è soltanto un fatto nominalistico ma rispecchia una diversa e più estesa partecipazione delle parti sociali e del rappresentante del C.G.I.E. In pratica, per favorire gli interventi di promozione economica e culturale, è stato previsto un "Tavolo tecnico" con rappresentanti delle categorie imprenditoriali, dell'industria, dell'artigianato, del commercio, dell'agricoltura e della cooperazione e rappresentanti delle Camere di Commercio, oltre ad 1 rappresentante del mondo accademico regionale; "il suddetto tavolo tecnico si può convocare per facilitare i rapporti e le relazioni di natura economico-imprenditoriale tra le imprese campane e quelle ubicate nei paesi di insediamento delle nostre comunità, ed anche quelle promosse dalle stesse associazioni. Si è ritenuto opportuno, per favorire il ricambio generazionale all'interno del Consiglio, limitare a due mandati l'eleggibilità dei Consiglieri e soprattutto aprire i gruppi dirigenti a giovani in età inferiore ai 39 anni, in numero preponderante allo scopo di rendere le associazioni dei luoghi aperti e </w:t>
      </w:r>
      <w:proofErr w:type="gramStart"/>
      <w:r w:rsidRPr="00E06634">
        <w:rPr>
          <w:rFonts w:ascii="Times New Roman" w:hAnsi="Times New Roman" w:cs="Times New Roman"/>
          <w:sz w:val="24"/>
          <w:szCs w:val="24"/>
        </w:rPr>
        <w:t>multi-dimensionali</w:t>
      </w:r>
      <w:proofErr w:type="gramEnd"/>
      <w:r w:rsidRPr="00E06634">
        <w:rPr>
          <w:rFonts w:ascii="Times New Roman" w:hAnsi="Times New Roman" w:cs="Times New Roman"/>
          <w:sz w:val="24"/>
          <w:szCs w:val="24"/>
        </w:rPr>
        <w:t xml:space="preserve"> come sopra accennato. Tenuto conto che con le modifiche apportate alla legge regionale n.2/96 contenute nella legge regionale n. 22/2016, la Consulta è presieduta dal Presidente del consiglio regionale che con decreto ne nomina i componenti, si è ritenuto opportuno mantenere in capo al Presidente del consiglio regionale la costituzione del Consiglio Generale Regionale per i Cittadini Campani all'estero e, contestualmente, istituire presso il Consiglio regionale della Campania, l'ufficio di Segreteria per garantirne il funzionale svolgimento dei compiti istituzionali. Altra innovazione è quella del riconoscimento formale del ruolo significativo che hanno avuto i Cittadini campani all'estero nel contribuire direttamente allo sviluppo sociale, economico e culturale della Campania; tale riconoscimento sarà celebrato con la "Giornata del Cittadino Campano all'estero". Giornata individuata nel 10 marzo di ogni anno in occasione dell'anniversario della entrata in vigore della prima Legge regionale campana che inseriva nella composizione della Consulta regionale per l'emigrazione i Consultori esteri.</w:t>
      </w:r>
    </w:p>
    <w:p w14:paraId="734F7D7B"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 presente proposta di legge si compone di 26 articoli.</w:t>
      </w:r>
    </w:p>
    <w:p w14:paraId="4B8DCD8C"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 1 evidenzia le finalità e gli obiettivi della legge, precisando che si intende in tal modo promuovere e tutelare la ricchezza economica e culturale che rappresentano i campani residenti all'estero.</w:t>
      </w:r>
    </w:p>
    <w:p w14:paraId="1A134310"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 2 definisce i settori di intervento della Regione.</w:t>
      </w:r>
    </w:p>
    <w:p w14:paraId="70007010"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lastRenderedPageBreak/>
        <w:t>L’articolo 3 specifica il piano di interventi annuale.</w:t>
      </w:r>
    </w:p>
    <w:p w14:paraId="5BD7F8F1"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4 dispone le linee guida triennali.</w:t>
      </w:r>
    </w:p>
    <w:p w14:paraId="07761B62"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5 prevede l’istituzione del Consiglio Generale Regionale per i Campani all’Estero.</w:t>
      </w:r>
    </w:p>
    <w:p w14:paraId="59052C4E"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6 reca la composizione del Consiglio Generale Regionale per i Campani all’Estero.</w:t>
      </w:r>
    </w:p>
    <w:p w14:paraId="3681A4E5"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7 detta l’istituzione del Consigliere Estero.</w:t>
      </w:r>
    </w:p>
    <w:p w14:paraId="269FC8FF"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8 specifica le modalità di elezione dei Consiglieri Esteri</w:t>
      </w:r>
    </w:p>
    <w:p w14:paraId="5AEEB660"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9 reca il funzionamento del Consiglio Generale Regionale per i campani all’Estero.</w:t>
      </w:r>
    </w:p>
    <w:p w14:paraId="12D7759E"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10 definisce i compiti del Consiglio Generale Regionale per i campani all’Estero.</w:t>
      </w:r>
    </w:p>
    <w:p w14:paraId="6EC7E1B9"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11 prevede l’istituzione del Comitato Direttivo.</w:t>
      </w:r>
    </w:p>
    <w:p w14:paraId="052B604F"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12 disciplina le modalità di elezione dei Vicepresidenti e del Comitato direttivo.</w:t>
      </w:r>
    </w:p>
    <w:p w14:paraId="6C1A71F7"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13 reca le disposizioni in merito ai rimborsi spese.</w:t>
      </w:r>
    </w:p>
    <w:p w14:paraId="4D930492"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14 individua i soggetti destinatari delle azioni e dei programmi regionali.</w:t>
      </w:r>
    </w:p>
    <w:p w14:paraId="1C2327FD"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15 specifica gli interventi regionali in materia culturale e di sviluppo economico.</w:t>
      </w:r>
    </w:p>
    <w:p w14:paraId="0BC1CB50"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16 individua le azioni di sostegno, sotto forma di assegni, borse di studio e corsi di lingua italiana;</w:t>
      </w:r>
    </w:p>
    <w:p w14:paraId="24A16A98"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17 detta le iniziative per i soggiorni, gli interscambi e il turismo sociale.</w:t>
      </w:r>
    </w:p>
    <w:p w14:paraId="5F831B57"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18 prevede l’istituzione della Conferenza regionale</w:t>
      </w:r>
    </w:p>
    <w:p w14:paraId="43BCB571"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19 detta le iniziative riguardanti gli studi, le indagini e le ricerche sociali.</w:t>
      </w:r>
    </w:p>
    <w:p w14:paraId="39898BEA"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20 definisce l’istituzione della giornata del Campano all’Estero.</w:t>
      </w:r>
    </w:p>
    <w:p w14:paraId="6CC95E01"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21 reca l’istituzione del Registro regionale delle associazioni.</w:t>
      </w:r>
    </w:p>
    <w:p w14:paraId="04284FF1"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22 specifica i requisiti delle associazioni per l’iscrizione nel Registro regionale.</w:t>
      </w:r>
    </w:p>
    <w:p w14:paraId="198F8288"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23 reca la normativa di iscrizione per le associazioni, gli enti e le istituzioni operanti nella Regione.</w:t>
      </w:r>
    </w:p>
    <w:p w14:paraId="318F54CD"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24 individua gli oneri finanziari.</w:t>
      </w:r>
    </w:p>
    <w:p w14:paraId="62B51B8E"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25 specifica le abrogazioni operate dalla presente legge</w:t>
      </w:r>
    </w:p>
    <w:p w14:paraId="58EF03AE"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L’articolo 26 attua le disposizioni finali e l’entrata in vigore della legge</w:t>
      </w:r>
    </w:p>
    <w:p w14:paraId="646D1608"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[07:50, 10/10/2023] Corrado Matera2: RELAZIONE TECNICO-FINANZIARIA</w:t>
      </w:r>
    </w:p>
    <w:p w14:paraId="47F3195B"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 presente legge comporta oneri finanziari, a legislazione vigente, a carico del bilancio regionale.</w:t>
      </w:r>
    </w:p>
    <w:p w14:paraId="542099D7"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 </w:t>
      </w:r>
    </w:p>
    <w:p w14:paraId="01BAA886"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lastRenderedPageBreak/>
        <w:t>SEZIONE 1 – CARATTERISTICHE DELLA SPESA</w:t>
      </w:r>
    </w:p>
    <w:p w14:paraId="70DFC0DE"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MORFOLOGIA DELLA SPESA</w:t>
      </w:r>
      <w:r w:rsidRPr="00E06634">
        <w:rPr>
          <w:rFonts w:ascii="Times New Roman" w:hAnsi="Times New Roman" w:cs="Times New Roman"/>
          <w:sz w:val="24"/>
          <w:szCs w:val="24"/>
        </w:rPr>
        <w:tab/>
        <w:t>FATTORE LEGISLATIVO</w:t>
      </w:r>
      <w:r w:rsidRPr="00E06634">
        <w:rPr>
          <w:rFonts w:ascii="Times New Roman" w:hAnsi="Times New Roman" w:cs="Times New Roman"/>
          <w:sz w:val="24"/>
          <w:szCs w:val="24"/>
        </w:rPr>
        <w:tab/>
      </w:r>
    </w:p>
    <w:p w14:paraId="52F6FA96"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TIPOLOGIA DELLA SPESA</w:t>
      </w:r>
      <w:r w:rsidRPr="00E06634">
        <w:rPr>
          <w:rFonts w:ascii="Times New Roman" w:hAnsi="Times New Roman" w:cs="Times New Roman"/>
          <w:sz w:val="24"/>
          <w:szCs w:val="24"/>
        </w:rPr>
        <w:tab/>
        <w:t>CORRENTE</w:t>
      </w:r>
      <w:r w:rsidRPr="00E06634">
        <w:rPr>
          <w:rFonts w:ascii="Times New Roman" w:hAnsi="Times New Roman" w:cs="Times New Roman"/>
          <w:sz w:val="24"/>
          <w:szCs w:val="24"/>
        </w:rPr>
        <w:tab/>
      </w:r>
    </w:p>
    <w:p w14:paraId="67F839A9"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NATURA DELLA SPESA</w:t>
      </w:r>
      <w:r w:rsidRPr="00E06634">
        <w:rPr>
          <w:rFonts w:ascii="Times New Roman" w:hAnsi="Times New Roman" w:cs="Times New Roman"/>
          <w:sz w:val="24"/>
          <w:szCs w:val="24"/>
        </w:rPr>
        <w:tab/>
        <w:t>PLURIENNALE</w:t>
      </w:r>
      <w:r w:rsidRPr="00E06634">
        <w:rPr>
          <w:rFonts w:ascii="Times New Roman" w:hAnsi="Times New Roman" w:cs="Times New Roman"/>
          <w:sz w:val="24"/>
          <w:szCs w:val="24"/>
        </w:rPr>
        <w:tab/>
      </w:r>
    </w:p>
    <w:p w14:paraId="38C8FB2F"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ab/>
      </w:r>
      <w:r w:rsidRPr="00E06634">
        <w:rPr>
          <w:rFonts w:ascii="Times New Roman" w:hAnsi="Times New Roman" w:cs="Times New Roman"/>
          <w:sz w:val="24"/>
          <w:szCs w:val="24"/>
        </w:rPr>
        <w:tab/>
      </w:r>
    </w:p>
    <w:p w14:paraId="11591E68"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 </w:t>
      </w:r>
    </w:p>
    <w:p w14:paraId="22F03793"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SEZIONE 2 - INDICAZIONI SULLA PRESENZA DI ONERI FINANZIARI PRESUNTI E RELATIVA QUANTIFICAZIONE</w:t>
      </w:r>
    </w:p>
    <w:p w14:paraId="7490DA4A"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La presente Legge comporta degli oneri per: Art. 24 Oneri finanziari</w:t>
      </w:r>
    </w:p>
    <w:p w14:paraId="74134B8E"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Ai relativi oneri finanziari si provvede mediante:</w:t>
      </w:r>
    </w:p>
    <w:p w14:paraId="23467E66" w14:textId="77777777" w:rsidR="00E06634" w:rsidRPr="00E06634"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a. in fase di prima attuazione, si provvede con i fondi iscritti al bilancio di cui alla legge n. 2/96;</w:t>
      </w:r>
    </w:p>
    <w:p w14:paraId="7A940B15" w14:textId="626BD39D" w:rsidR="00703BC3" w:rsidRDefault="00E06634" w:rsidP="00E06634">
      <w:pPr>
        <w:jc w:val="both"/>
        <w:rPr>
          <w:rFonts w:ascii="Times New Roman" w:hAnsi="Times New Roman" w:cs="Times New Roman"/>
          <w:sz w:val="24"/>
          <w:szCs w:val="24"/>
        </w:rPr>
      </w:pPr>
      <w:r w:rsidRPr="00E06634">
        <w:rPr>
          <w:rFonts w:ascii="Times New Roman" w:hAnsi="Times New Roman" w:cs="Times New Roman"/>
          <w:sz w:val="24"/>
          <w:szCs w:val="24"/>
        </w:rPr>
        <w:t>b. per gli esercizi successivi si fa fronte con apposito stanziamento nel bilancio regionale.</w:t>
      </w:r>
    </w:p>
    <w:p w14:paraId="1EAD9356" w14:textId="77777777" w:rsidR="00E06634" w:rsidRDefault="00E06634" w:rsidP="00E06634">
      <w:pPr>
        <w:jc w:val="both"/>
        <w:rPr>
          <w:rFonts w:ascii="Times New Roman" w:hAnsi="Times New Roman" w:cs="Times New Roman"/>
          <w:sz w:val="24"/>
          <w:szCs w:val="24"/>
        </w:rPr>
      </w:pPr>
    </w:p>
    <w:p w14:paraId="2970230B" w14:textId="77777777" w:rsidR="00E06634" w:rsidRDefault="00E06634" w:rsidP="00E06634">
      <w:pPr>
        <w:jc w:val="both"/>
        <w:rPr>
          <w:rFonts w:ascii="Times New Roman" w:hAnsi="Times New Roman" w:cs="Times New Roman"/>
          <w:sz w:val="24"/>
          <w:szCs w:val="24"/>
        </w:rPr>
      </w:pPr>
    </w:p>
    <w:p w14:paraId="0214509F" w14:textId="77777777" w:rsidR="00E06634" w:rsidRDefault="00E06634" w:rsidP="00E06634">
      <w:pPr>
        <w:jc w:val="both"/>
        <w:rPr>
          <w:rFonts w:ascii="Times New Roman" w:hAnsi="Times New Roman" w:cs="Times New Roman"/>
          <w:sz w:val="24"/>
          <w:szCs w:val="24"/>
        </w:rPr>
      </w:pPr>
    </w:p>
    <w:p w14:paraId="358A23C6" w14:textId="12FEA041" w:rsidR="00E06634" w:rsidRPr="00E06634" w:rsidRDefault="00E06634" w:rsidP="003B6092">
      <w:pPr>
        <w:ind w:left="1416" w:firstLine="708"/>
        <w:jc w:val="center"/>
        <w:rPr>
          <w:rFonts w:ascii="Times New Roman" w:hAnsi="Times New Roman" w:cs="Times New Roman"/>
          <w:b/>
          <w:bCs/>
          <w:sz w:val="24"/>
          <w:szCs w:val="24"/>
        </w:rPr>
      </w:pPr>
      <w:r w:rsidRPr="00E06634">
        <w:rPr>
          <w:rFonts w:ascii="Times New Roman" w:hAnsi="Times New Roman" w:cs="Times New Roman"/>
          <w:b/>
          <w:bCs/>
          <w:sz w:val="24"/>
          <w:szCs w:val="24"/>
        </w:rPr>
        <w:t>Avv. Corrado Matera</w:t>
      </w:r>
    </w:p>
    <w:sectPr w:rsidR="00E06634" w:rsidRPr="00E06634" w:rsidSect="003B6092">
      <w:headerReference w:type="default" r:id="rId6"/>
      <w:pgSz w:w="11906" w:h="16838"/>
      <w:pgMar w:top="283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D0C8F" w14:textId="77777777" w:rsidR="00D43294" w:rsidRDefault="00D43294" w:rsidP="003B6092">
      <w:pPr>
        <w:spacing w:after="0" w:line="240" w:lineRule="auto"/>
      </w:pPr>
      <w:r>
        <w:separator/>
      </w:r>
    </w:p>
  </w:endnote>
  <w:endnote w:type="continuationSeparator" w:id="0">
    <w:p w14:paraId="22F37FB8" w14:textId="77777777" w:rsidR="00D43294" w:rsidRDefault="00D43294" w:rsidP="003B6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E290E" w14:textId="77777777" w:rsidR="00D43294" w:rsidRDefault="00D43294" w:rsidP="003B6092">
      <w:pPr>
        <w:spacing w:after="0" w:line="240" w:lineRule="auto"/>
      </w:pPr>
      <w:r>
        <w:separator/>
      </w:r>
    </w:p>
  </w:footnote>
  <w:footnote w:type="continuationSeparator" w:id="0">
    <w:p w14:paraId="142222F3" w14:textId="77777777" w:rsidR="00D43294" w:rsidRDefault="00D43294" w:rsidP="003B6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38315" w14:textId="1048FE1B" w:rsidR="003B6092" w:rsidRDefault="003B6092" w:rsidP="003B6092">
    <w:pPr>
      <w:pStyle w:val="Intestazione"/>
      <w:jc w:val="center"/>
    </w:pPr>
    <w:r>
      <w:rPr>
        <w:rFonts w:ascii="Bookman Old Style" w:hAnsi="Bookman Old Style"/>
        <w:noProof/>
        <w:sz w:val="32"/>
        <w:szCs w:val="32"/>
      </w:rPr>
      <w:drawing>
        <wp:inline distT="0" distB="0" distL="0" distR="0" wp14:anchorId="5B491791" wp14:editId="1E19F3A3">
          <wp:extent cx="2219325" cy="876300"/>
          <wp:effectExtent l="0" t="0" r="9525" b="0"/>
          <wp:docPr id="3" name="Immagine 3" descr="MARCHI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MARCHIO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19325" cy="8763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634"/>
    <w:rsid w:val="003B6092"/>
    <w:rsid w:val="00703BC3"/>
    <w:rsid w:val="00901569"/>
    <w:rsid w:val="00D43294"/>
    <w:rsid w:val="00E066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67B29"/>
  <w15:chartTrackingRefBased/>
  <w15:docId w15:val="{82779497-8846-4EA5-B5B9-1DE7A7791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B60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B6092"/>
  </w:style>
  <w:style w:type="paragraph" w:styleId="Pidipagina">
    <w:name w:val="footer"/>
    <w:basedOn w:val="Normale"/>
    <w:link w:val="PidipaginaCarattere"/>
    <w:uiPriority w:val="99"/>
    <w:unhideWhenUsed/>
    <w:rsid w:val="003B60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B6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1490</Words>
  <Characters>8499</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Bardi Gerardo</dc:creator>
  <cp:keywords/>
  <dc:description/>
  <cp:lastModifiedBy>Bardi Gerardo</cp:lastModifiedBy>
  <cp:revision>1</cp:revision>
  <dcterms:created xsi:type="dcterms:W3CDTF">2023-10-10T08:07:00Z</dcterms:created>
  <dcterms:modified xsi:type="dcterms:W3CDTF">2023-10-10T08:34:00Z</dcterms:modified>
</cp:coreProperties>
</file>