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A5D40" w14:textId="77777777" w:rsidR="006D7E4C" w:rsidRDefault="006D7E4C">
      <w:pPr>
        <w:spacing w:line="360" w:lineRule="auto"/>
        <w:jc w:val="right"/>
      </w:pPr>
    </w:p>
    <w:p w14:paraId="62B83E5C" w14:textId="77777777" w:rsidR="006D7E4C" w:rsidRDefault="006D7E4C">
      <w:pPr>
        <w:spacing w:line="360" w:lineRule="auto"/>
        <w:jc w:val="center"/>
        <w:rPr>
          <w:smallCaps/>
        </w:rPr>
      </w:pPr>
    </w:p>
    <w:p w14:paraId="513D2EA8" w14:textId="77777777" w:rsidR="006D7E4C" w:rsidRDefault="006D7E4C">
      <w:pPr>
        <w:spacing w:line="360" w:lineRule="auto"/>
        <w:jc w:val="center"/>
        <w:rPr>
          <w:smallCaps/>
        </w:rPr>
      </w:pPr>
    </w:p>
    <w:p w14:paraId="3333B7B4" w14:textId="77777777" w:rsidR="006D7E4C" w:rsidRDefault="006D7E4C">
      <w:pPr>
        <w:spacing w:line="360" w:lineRule="auto"/>
        <w:jc w:val="center"/>
        <w:rPr>
          <w:smallCaps/>
        </w:rPr>
      </w:pPr>
    </w:p>
    <w:p w14:paraId="621B319B" w14:textId="77777777" w:rsidR="006D7E4C" w:rsidRDefault="006D7E4C">
      <w:pPr>
        <w:spacing w:line="360" w:lineRule="auto"/>
        <w:jc w:val="center"/>
        <w:rPr>
          <w:smallCaps/>
        </w:rPr>
      </w:pPr>
    </w:p>
    <w:p w14:paraId="484AF082" w14:textId="77777777" w:rsidR="006D7E4C" w:rsidRDefault="00D22869">
      <w:pPr>
        <w:jc w:val="center"/>
        <w:rPr>
          <w:smallCaps/>
          <w:sz w:val="28"/>
          <w:szCs w:val="28"/>
        </w:rPr>
      </w:pPr>
      <w:r>
        <w:rPr>
          <w:smallCaps/>
          <w:sz w:val="28"/>
          <w:szCs w:val="28"/>
        </w:rPr>
        <w:t>Proposta di Legge</w:t>
      </w:r>
    </w:p>
    <w:p w14:paraId="7DF985F6" w14:textId="77777777" w:rsidR="006D7E4C" w:rsidRDefault="006D7E4C">
      <w:pPr>
        <w:jc w:val="center"/>
        <w:rPr>
          <w:smallCaps/>
          <w:sz w:val="28"/>
          <w:szCs w:val="28"/>
        </w:rPr>
      </w:pPr>
    </w:p>
    <w:p w14:paraId="68952D4B" w14:textId="77777777" w:rsidR="006D7E4C" w:rsidRDefault="00D22869">
      <w:pPr>
        <w:jc w:val="center"/>
        <w:rPr>
          <w:sz w:val="28"/>
          <w:szCs w:val="28"/>
        </w:rPr>
      </w:pPr>
      <w:r>
        <w:rPr>
          <w:smallCaps/>
          <w:sz w:val="28"/>
          <w:szCs w:val="28"/>
        </w:rPr>
        <w:t>“Disposizioni urgenti per la salvaguardia dell’Emeroteca-Biblioteca Tucci di Napoli. Modifiche alla legge regionale 5 giugno 1996, n. 12 (Contributo della Regione Campania a favore dell’Emeroteca-Biblioteca Tucci di Napoli)</w:t>
      </w:r>
      <w:r>
        <w:rPr>
          <w:sz w:val="28"/>
          <w:szCs w:val="28"/>
        </w:rPr>
        <w:t>”</w:t>
      </w:r>
    </w:p>
    <w:p w14:paraId="3DF78B0F" w14:textId="77777777" w:rsidR="006D7E4C" w:rsidRDefault="006D7E4C">
      <w:pPr>
        <w:jc w:val="center"/>
        <w:rPr>
          <w:smallCaps/>
        </w:rPr>
      </w:pPr>
    </w:p>
    <w:p w14:paraId="5C9E9F1B" w14:textId="77777777" w:rsidR="006D7E4C" w:rsidRDefault="006D7E4C">
      <w:pPr>
        <w:jc w:val="center"/>
      </w:pPr>
    </w:p>
    <w:p w14:paraId="4C4AB4C9" w14:textId="77777777" w:rsidR="006D7E4C" w:rsidRDefault="006D7E4C">
      <w:pPr>
        <w:jc w:val="center"/>
      </w:pPr>
    </w:p>
    <w:p w14:paraId="69066506" w14:textId="77777777" w:rsidR="006D7E4C" w:rsidRDefault="006D7E4C">
      <w:pPr>
        <w:jc w:val="center"/>
      </w:pPr>
    </w:p>
    <w:p w14:paraId="355E8780" w14:textId="77777777" w:rsidR="006D7E4C" w:rsidRDefault="006D7E4C">
      <w:pPr>
        <w:jc w:val="center"/>
      </w:pPr>
    </w:p>
    <w:p w14:paraId="0680F7B2" w14:textId="77777777" w:rsidR="006D7E4C" w:rsidRDefault="006D7E4C">
      <w:pPr>
        <w:jc w:val="center"/>
      </w:pPr>
    </w:p>
    <w:p w14:paraId="1CAB1200" w14:textId="77777777" w:rsidR="006D7E4C" w:rsidRDefault="006D7E4C">
      <w:pPr>
        <w:spacing w:line="360" w:lineRule="auto"/>
        <w:jc w:val="center"/>
        <w:rPr>
          <w:smallCaps/>
        </w:rPr>
      </w:pPr>
    </w:p>
    <w:p w14:paraId="69DE5587" w14:textId="77777777" w:rsidR="006D7E4C" w:rsidRDefault="006D7E4C">
      <w:pPr>
        <w:spacing w:line="360" w:lineRule="auto"/>
        <w:jc w:val="center"/>
        <w:rPr>
          <w:smallCaps/>
        </w:rPr>
      </w:pPr>
    </w:p>
    <w:p w14:paraId="1183F97B" w14:textId="77777777" w:rsidR="006D7E4C" w:rsidRDefault="006D7E4C">
      <w:pPr>
        <w:spacing w:line="360" w:lineRule="auto"/>
        <w:jc w:val="center"/>
        <w:rPr>
          <w:smallCaps/>
        </w:rPr>
      </w:pPr>
    </w:p>
    <w:p w14:paraId="0F06AA92" w14:textId="77777777" w:rsidR="006D7E4C" w:rsidRDefault="006D7E4C">
      <w:pPr>
        <w:spacing w:line="360" w:lineRule="auto"/>
        <w:jc w:val="center"/>
        <w:rPr>
          <w:smallCaps/>
        </w:rPr>
      </w:pPr>
    </w:p>
    <w:p w14:paraId="0DCA5013" w14:textId="77777777" w:rsidR="006D7E4C" w:rsidRDefault="006D7E4C">
      <w:pPr>
        <w:spacing w:line="360" w:lineRule="auto"/>
        <w:jc w:val="center"/>
        <w:rPr>
          <w:smallCaps/>
        </w:rPr>
      </w:pPr>
    </w:p>
    <w:p w14:paraId="256EA2C0" w14:textId="77777777" w:rsidR="006D7E4C" w:rsidRDefault="006D7E4C">
      <w:pPr>
        <w:spacing w:line="360" w:lineRule="auto"/>
        <w:jc w:val="center"/>
        <w:rPr>
          <w:smallCaps/>
        </w:rPr>
      </w:pPr>
    </w:p>
    <w:p w14:paraId="20665BEB" w14:textId="77777777" w:rsidR="006D7E4C" w:rsidRDefault="006D7E4C">
      <w:pPr>
        <w:spacing w:line="360" w:lineRule="auto"/>
        <w:jc w:val="center"/>
        <w:rPr>
          <w:smallCaps/>
        </w:rPr>
      </w:pPr>
    </w:p>
    <w:p w14:paraId="11E11ABE" w14:textId="77777777" w:rsidR="006D7E4C" w:rsidRDefault="006D7E4C">
      <w:pPr>
        <w:spacing w:line="360" w:lineRule="auto"/>
        <w:jc w:val="center"/>
        <w:rPr>
          <w:smallCaps/>
        </w:rPr>
      </w:pPr>
    </w:p>
    <w:p w14:paraId="03CBB2BC" w14:textId="77777777" w:rsidR="006D7E4C" w:rsidRDefault="006D7E4C">
      <w:pPr>
        <w:spacing w:line="360" w:lineRule="auto"/>
        <w:jc w:val="center"/>
        <w:rPr>
          <w:smallCaps/>
        </w:rPr>
      </w:pPr>
    </w:p>
    <w:p w14:paraId="38948341" w14:textId="77777777" w:rsidR="006D7E4C" w:rsidRDefault="006D7E4C">
      <w:pPr>
        <w:spacing w:line="360" w:lineRule="auto"/>
        <w:rPr>
          <w:smallCaps/>
        </w:rPr>
      </w:pPr>
    </w:p>
    <w:p w14:paraId="347C2DDB" w14:textId="77777777" w:rsidR="006D7E4C" w:rsidRDefault="00D22869">
      <w:pPr>
        <w:spacing w:line="360" w:lineRule="auto"/>
        <w:jc w:val="center"/>
        <w:rPr>
          <w:smallCaps/>
        </w:rPr>
      </w:pPr>
      <w:r>
        <w:rPr>
          <w:smallCaps/>
        </w:rPr>
        <w:t>Scheda AIR</w:t>
      </w:r>
    </w:p>
    <w:p w14:paraId="1AF7EADA" w14:textId="77777777" w:rsidR="006D7E4C" w:rsidRDefault="00D22869">
      <w:pPr>
        <w:spacing w:line="360" w:lineRule="auto"/>
        <w:jc w:val="center"/>
        <w:rPr>
          <w:smallCaps/>
        </w:rPr>
      </w:pPr>
      <w:r>
        <w:rPr>
          <w:smallCaps/>
        </w:rPr>
        <w:t>Anal</w:t>
      </w:r>
      <w:r>
        <w:rPr>
          <w:smallCaps/>
        </w:rPr>
        <w:t>isi di Impatto della Regolamentazione</w:t>
      </w:r>
    </w:p>
    <w:p w14:paraId="33F95AD4" w14:textId="77777777" w:rsidR="006D7E4C" w:rsidRDefault="00D22869">
      <w:pPr>
        <w:spacing w:after="160" w:line="259" w:lineRule="auto"/>
        <w:rPr>
          <w:smallCaps/>
        </w:rPr>
      </w:pPr>
      <w:r>
        <w:br w:type="page"/>
      </w:r>
    </w:p>
    <w:p w14:paraId="001E423F" w14:textId="77777777" w:rsidR="006D7E4C" w:rsidRDefault="00D22869">
      <w:pPr>
        <w:jc w:val="both"/>
      </w:pPr>
      <w:r>
        <w:rPr>
          <w:b/>
        </w:rPr>
        <w:lastRenderedPageBreak/>
        <w:t>SOMMARIO</w:t>
      </w:r>
    </w:p>
    <w:p w14:paraId="23E02C73" w14:textId="77777777" w:rsidR="006D7E4C" w:rsidRDefault="00D22869">
      <w:pPr>
        <w:spacing w:before="240" w:after="240" w:line="276" w:lineRule="auto"/>
        <w:jc w:val="both"/>
      </w:pPr>
      <w:r>
        <w:t>SEZIONE 1 - Contesto e obiettivi dell’intervento di regolamentazione</w:t>
      </w:r>
    </w:p>
    <w:p w14:paraId="6A160F25" w14:textId="77777777" w:rsidR="006D7E4C" w:rsidRDefault="00D2286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La rappresentazione del problema da risolvere e delle criticità constatate, anche con riferimento al contesto internazionale ed europeo, nonché delle esigenze sociali ed economiche considerate</w:t>
      </w:r>
    </w:p>
    <w:p w14:paraId="6B4FDEB9" w14:textId="77777777" w:rsidR="006D7E4C" w:rsidRDefault="00D2286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Indicazione degli obiettivi perseguiti con l’intervento normati</w:t>
      </w:r>
      <w:r>
        <w:rPr>
          <w:i/>
          <w:color w:val="000000"/>
        </w:rPr>
        <w:t>vo</w:t>
      </w:r>
    </w:p>
    <w:p w14:paraId="722048B4" w14:textId="77777777" w:rsidR="006D7E4C" w:rsidRDefault="00D2286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Descrizione degli indicatori che consentono di verificare il grado di raggiungimento degli obiettivi indicati e di monitorare l’attuazione dell’intervento nell’ambito della VIR</w:t>
      </w:r>
    </w:p>
    <w:p w14:paraId="5B921800" w14:textId="77777777" w:rsidR="006D7E4C" w:rsidRDefault="00D2286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i/>
          <w:color w:val="000000"/>
        </w:rPr>
      </w:pPr>
      <w:r>
        <w:rPr>
          <w:i/>
          <w:color w:val="000000"/>
        </w:rPr>
        <w:t>Indicazione delle categorie dei soggetti, pubblici e privati, destinatari de</w:t>
      </w:r>
      <w:r>
        <w:rPr>
          <w:i/>
          <w:color w:val="000000"/>
        </w:rPr>
        <w:t>i principali effetti dell’intervento regolatorio</w:t>
      </w:r>
    </w:p>
    <w:p w14:paraId="0EAFA686" w14:textId="77777777" w:rsidR="006D7E4C" w:rsidRDefault="00D22869">
      <w:pPr>
        <w:spacing w:after="240" w:line="276" w:lineRule="auto"/>
        <w:jc w:val="both"/>
      </w:pPr>
      <w:r>
        <w:t>SEZIONE 2 - Procedure di consultazione precedenti l’intervento</w:t>
      </w:r>
    </w:p>
    <w:p w14:paraId="03941316" w14:textId="77777777" w:rsidR="006D7E4C" w:rsidRDefault="00D22869">
      <w:pPr>
        <w:spacing w:after="240" w:line="276" w:lineRule="auto"/>
        <w:jc w:val="both"/>
      </w:pPr>
      <w:r>
        <w:t>SEZIONE 3 - Valutazione dell’opzione di non intervento di regolamentazione (opzione zero)</w:t>
      </w:r>
    </w:p>
    <w:p w14:paraId="62ACF381" w14:textId="77777777" w:rsidR="006D7E4C" w:rsidRDefault="00D22869">
      <w:pPr>
        <w:spacing w:after="240" w:line="276" w:lineRule="auto"/>
        <w:jc w:val="both"/>
      </w:pPr>
      <w:r>
        <w:t xml:space="preserve">SEZIONE 4 - </w:t>
      </w:r>
      <w:proofErr w:type="gramStart"/>
      <w:r>
        <w:t>Opzioni alternative</w:t>
      </w:r>
      <w:proofErr w:type="gramEnd"/>
      <w:r>
        <w:t xml:space="preserve"> all’intervento regolat</w:t>
      </w:r>
      <w:r>
        <w:t>orio</w:t>
      </w:r>
    </w:p>
    <w:p w14:paraId="200684C4" w14:textId="77777777" w:rsidR="006D7E4C" w:rsidRDefault="00D22869">
      <w:pPr>
        <w:spacing w:after="240" w:line="276" w:lineRule="auto"/>
        <w:jc w:val="both"/>
      </w:pPr>
      <w:r>
        <w:t>SEZIONE 5 - Giustificazione dell’opzione regolatoria proposta e valutazione degli oneri amministrativi e dell’impatto sulle PMI</w:t>
      </w:r>
    </w:p>
    <w:p w14:paraId="35201212" w14:textId="77777777" w:rsidR="006D7E4C" w:rsidRDefault="00D2286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Svantaggi e vantaggi dell’opzione prescelta per i destinatari diretti e indiretti</w:t>
      </w:r>
    </w:p>
    <w:p w14:paraId="2A61FF3A" w14:textId="77777777" w:rsidR="006D7E4C" w:rsidRDefault="00D2286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Individuazione e stima degli effetti dell’opzione prescelta sulle micro, piccole e medie imprese</w:t>
      </w:r>
    </w:p>
    <w:p w14:paraId="0C8920E0" w14:textId="77777777" w:rsidR="006D7E4C" w:rsidRDefault="00D2286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i/>
        </w:rPr>
      </w:pPr>
      <w:r>
        <w:rPr>
          <w:i/>
        </w:rPr>
        <w:t>Indicazione e stima degli oneri informativi e dei relativi costi amministrati</w:t>
      </w:r>
      <w:r>
        <w:rPr>
          <w:i/>
        </w:rPr>
        <w:t>vi, introdotti o eliminati a carico di cittadini e imprese. Per onere informativo si intende qualunque tipologia di adempimento comportante raccolta, elaborazione, trasmissione, conservazione e produzione di informazioni, comunicazioni e documenti alla pub</w:t>
      </w:r>
      <w:r>
        <w:rPr>
          <w:i/>
        </w:rPr>
        <w:t>blica amministrazione</w:t>
      </w:r>
    </w:p>
    <w:p w14:paraId="03BEEBD3" w14:textId="77777777" w:rsidR="006D7E4C" w:rsidRDefault="00D22869">
      <w:pPr>
        <w:spacing w:after="240" w:line="276" w:lineRule="auto"/>
        <w:jc w:val="both"/>
      </w:pPr>
      <w:r>
        <w:t>SEZIONE 6 - Incidenza sul corretto funzionamento concorrenziale del mercato e sulla competitività regionale, nonché sulle politiche giovanili</w:t>
      </w:r>
    </w:p>
    <w:p w14:paraId="4E69A4D7" w14:textId="77777777" w:rsidR="006D7E4C" w:rsidRDefault="00D22869">
      <w:pPr>
        <w:spacing w:after="240" w:line="276" w:lineRule="auto"/>
        <w:jc w:val="both"/>
      </w:pPr>
      <w:r>
        <w:t>SEZIONE 7 - Modalità attuative dell’intervento di regolamentazione</w:t>
      </w:r>
    </w:p>
    <w:p w14:paraId="45E5A5DF" w14:textId="77777777" w:rsidR="006D7E4C" w:rsidRDefault="00D228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Soggetti responsabili del</w:t>
      </w:r>
      <w:r>
        <w:rPr>
          <w:i/>
          <w:color w:val="000000"/>
        </w:rPr>
        <w:t>l’attuazione dell’intervento regolatorio</w:t>
      </w:r>
    </w:p>
    <w:p w14:paraId="161926B8" w14:textId="77777777" w:rsidR="006D7E4C" w:rsidRDefault="00D228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</w:rPr>
      </w:pPr>
      <w:r>
        <w:rPr>
          <w:i/>
        </w:rPr>
        <w:t xml:space="preserve">Azioni per la pubblicità e per l’informazione dell’intervento </w:t>
      </w:r>
    </w:p>
    <w:p w14:paraId="5DEF17FD" w14:textId="77777777" w:rsidR="006D7E4C" w:rsidRDefault="00D228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>Strumenti e modalità per il controllo e il monitoraggio dell’intervento regolatorio</w:t>
      </w:r>
    </w:p>
    <w:p w14:paraId="38783920" w14:textId="77777777" w:rsidR="006D7E4C" w:rsidRDefault="00D2286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i/>
          <w:color w:val="000000"/>
        </w:rPr>
      </w:pPr>
      <w:r>
        <w:rPr>
          <w:i/>
          <w:color w:val="000000"/>
        </w:rPr>
        <w:t>Meccanismi previsti per la revisione dell’intervento regolatorio</w:t>
      </w:r>
    </w:p>
    <w:p w14:paraId="77344FE5" w14:textId="77777777" w:rsidR="006D7E4C" w:rsidRDefault="00D22869">
      <w:pPr>
        <w:spacing w:line="276" w:lineRule="auto"/>
        <w:jc w:val="both"/>
        <w:rPr>
          <w:b/>
        </w:rPr>
      </w:pPr>
      <w:r>
        <w:t>SEZIONE 8 - Rispetto dei livelli minimi di regolazione europea</w:t>
      </w:r>
      <w:r>
        <w:br w:type="page"/>
      </w:r>
    </w:p>
    <w:p w14:paraId="2CEA0B24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lastRenderedPageBreak/>
        <w:t>________________________________________________________________________________</w:t>
      </w:r>
    </w:p>
    <w:p w14:paraId="29BA1CCD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1</w:t>
      </w:r>
    </w:p>
    <w:p w14:paraId="63EFAB34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Contesto e obiettivi dell’intervento</w:t>
      </w:r>
      <w:r>
        <w:rPr>
          <w:b/>
        </w:rPr>
        <w:t xml:space="preserve"> di regolamentazione</w:t>
      </w:r>
    </w:p>
    <w:p w14:paraId="7C87D5B6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021E8F92" w14:textId="77777777" w:rsidR="006D7E4C" w:rsidRDefault="00D228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b/>
          <w:i/>
          <w:color w:val="000000"/>
        </w:rPr>
      </w:pPr>
      <w:r>
        <w:rPr>
          <w:b/>
          <w:i/>
          <w:color w:val="000000"/>
        </w:rPr>
        <w:t>La rappresentazione del problema da risolvere e delle criticità constatate, anche con riferimento al contesto internazionale ed europeo, nonché delle esigenze sociali ed economiche considerate</w:t>
      </w:r>
    </w:p>
    <w:p w14:paraId="69768F9B" w14:textId="77777777" w:rsidR="006D7E4C" w:rsidRDefault="00D22869">
      <w:pPr>
        <w:tabs>
          <w:tab w:val="center" w:pos="4819"/>
          <w:tab w:val="right" w:pos="9638"/>
          <w:tab w:val="left" w:pos="567"/>
          <w:tab w:val="right" w:pos="276"/>
        </w:tabs>
        <w:spacing w:before="200" w:line="276" w:lineRule="auto"/>
        <w:jc w:val="both"/>
      </w:pPr>
      <w:r>
        <w:t>L’emeroteca-biblioteca “Tucci” di Napoli, fondata nel 1907 e da</w:t>
      </w:r>
      <w:r>
        <w:t>l 24 giugno 1999 dichiarata bene di notevole interesse storico dal Ministero per i Beni culturali, è unanimemente considerata l’archivio mondiale della stampa periodica, in quanto sede di un patrimonio inestimabile, costituito da oltre diecimila collezioni</w:t>
      </w:r>
      <w:r>
        <w:t xml:space="preserve"> di periodici italiani e stranieri raccolti in trecentomila volumi, di cui circa duecento unici al mondo, nonché da oltre 45.000 libri, a cui si aggiungono stampe, manoscritti, bandi giuridici e postali, lettere autografe di uomini di governo, artisti e sc</w:t>
      </w:r>
      <w:r>
        <w:t>rittori, rare cartografie e la collezione dei centoventi manifesti futuristi.</w:t>
      </w:r>
    </w:p>
    <w:p w14:paraId="047016AA" w14:textId="77777777" w:rsidR="006D7E4C" w:rsidRDefault="00D22869">
      <w:pPr>
        <w:tabs>
          <w:tab w:val="center" w:pos="4819"/>
          <w:tab w:val="right" w:pos="9638"/>
          <w:tab w:val="left" w:pos="567"/>
          <w:tab w:val="right" w:pos="276"/>
        </w:tabs>
        <w:spacing w:before="200" w:line="276" w:lineRule="auto"/>
        <w:jc w:val="both"/>
      </w:pPr>
      <w:r>
        <w:t>La Regione Campania, con propria legge 5 giugno 1996, n. 12, tuttora vigente, ha inteso riconoscere il valore storico-culturale dell’Emeroteca, con la concessione di un contribut</w:t>
      </w:r>
      <w:r>
        <w:t>o annuale (all’epoca quantificato in 600 milioni di lire) al fine di incoraggiarne e sostenerne le attività; tale contributo risulta essere stato erogato fino all’annualità 2002, e poi riproposto nell’annualità 2016 per un singolo esercizio finanziario.</w:t>
      </w:r>
    </w:p>
    <w:p w14:paraId="5B222AB5" w14:textId="77777777" w:rsidR="006D7E4C" w:rsidRDefault="006D7E4C">
      <w:pPr>
        <w:tabs>
          <w:tab w:val="center" w:pos="4819"/>
          <w:tab w:val="right" w:pos="9638"/>
          <w:tab w:val="left" w:pos="567"/>
          <w:tab w:val="right" w:pos="276"/>
        </w:tabs>
        <w:spacing w:line="276" w:lineRule="auto"/>
        <w:jc w:val="both"/>
      </w:pPr>
    </w:p>
    <w:p w14:paraId="48CD4F60" w14:textId="77777777" w:rsidR="006D7E4C" w:rsidRDefault="00D228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color w:val="000000"/>
        </w:rPr>
      </w:pPr>
      <w:r>
        <w:rPr>
          <w:b/>
          <w:i/>
          <w:color w:val="000000"/>
        </w:rPr>
        <w:t>Indicazione degli obiettivi perseguiti con l’intervento normativo</w:t>
      </w:r>
    </w:p>
    <w:p w14:paraId="076AE5C1" w14:textId="77777777" w:rsidR="006D7E4C" w:rsidRDefault="00D22869">
      <w:pPr>
        <w:tabs>
          <w:tab w:val="center" w:pos="4819"/>
          <w:tab w:val="right" w:pos="9638"/>
          <w:tab w:val="left" w:pos="567"/>
          <w:tab w:val="right" w:pos="276"/>
        </w:tabs>
        <w:spacing w:before="200" w:line="276" w:lineRule="auto"/>
        <w:jc w:val="both"/>
      </w:pPr>
      <w:r>
        <w:t>L’obiettivo della proposta di legge, alla luce delle condizioni di grave difficoltà economica in cui versa attualmente l’Emeroteca, è quello di riconoscere un contributo economico a sostegno</w:t>
      </w:r>
      <w:r>
        <w:t xml:space="preserve"> delle attività svolte dall’emeroteca-biblioteca Tucci, attraverso il rifinanziamento della legge reg. 12/1996.</w:t>
      </w:r>
    </w:p>
    <w:p w14:paraId="2AFCC25B" w14:textId="77777777" w:rsidR="006D7E4C" w:rsidRDefault="006D7E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3DB8DB1A" w14:textId="77777777" w:rsidR="006D7E4C" w:rsidRDefault="00D228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b/>
          <w:i/>
          <w:color w:val="000000"/>
        </w:rPr>
      </w:pPr>
      <w:r>
        <w:rPr>
          <w:b/>
          <w:i/>
          <w:color w:val="000000"/>
        </w:rPr>
        <w:t>Descrizione degli indicatori che consentono di verificare il grado di raggiungimento degli obiettivi indicati e di monitorare l’attuazione dell</w:t>
      </w:r>
      <w:r>
        <w:rPr>
          <w:b/>
          <w:i/>
          <w:color w:val="000000"/>
        </w:rPr>
        <w:t>’intervento nell’ambito della VIR</w:t>
      </w:r>
    </w:p>
    <w:p w14:paraId="77BA3734" w14:textId="77777777" w:rsidR="006D7E4C" w:rsidRDefault="00D2286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</w:pPr>
      <w:r>
        <w:t xml:space="preserve">Tra gli indicatori che consentiranno di verificare il grado di raggiungimento degli obiettivi vi sarà: </w:t>
      </w:r>
    </w:p>
    <w:p w14:paraId="3DE4C006" w14:textId="77777777" w:rsidR="006D7E4C" w:rsidRDefault="00D2286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5" w:hanging="425"/>
        <w:jc w:val="both"/>
      </w:pPr>
      <w:r>
        <w:t>l’effettiva erogazione, entro trenta giorni per la prima annualità ed entro la data del 31 marzo per i successivi esercizi finanziari, del contributo economico previsto da parte della Giunta regionale;</w:t>
      </w:r>
    </w:p>
    <w:p w14:paraId="0BA78305" w14:textId="77777777" w:rsidR="006D7E4C" w:rsidRDefault="00D2286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5" w:hanging="425"/>
        <w:jc w:val="both"/>
      </w:pPr>
      <w:r>
        <w:t>presentazione alla Giunta regionale, da parte dell’Eme</w:t>
      </w:r>
      <w:r>
        <w:t xml:space="preserve">roteca, di una dettagliata relazione sull’impiego del contributo, sull’attività svolta e sui programmi previsti per l’anno successivo, </w:t>
      </w:r>
      <w:r>
        <w:lastRenderedPageBreak/>
        <w:t>da inviarsi entro sessanta giorni dall’entrata in vigore della legge per la prima annualità e alla fine dell’esercizio pe</w:t>
      </w:r>
      <w:r>
        <w:t>r le due annualità successive.</w:t>
      </w:r>
    </w:p>
    <w:p w14:paraId="345A0C51" w14:textId="77777777" w:rsidR="006D7E4C" w:rsidRDefault="006D7E4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</w:pPr>
    </w:p>
    <w:p w14:paraId="7D974D6C" w14:textId="77777777" w:rsidR="006D7E4C" w:rsidRDefault="00D2286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b/>
          <w:i/>
          <w:color w:val="000000"/>
        </w:rPr>
      </w:pPr>
      <w:r>
        <w:rPr>
          <w:b/>
          <w:i/>
          <w:color w:val="000000"/>
        </w:rPr>
        <w:t>Indicazione delle categorie dei soggetti, pubblici e privati, destinatari dei principali effetti dell’intervento regolatorio</w:t>
      </w:r>
    </w:p>
    <w:p w14:paraId="30822BCF" w14:textId="77777777" w:rsidR="006D7E4C" w:rsidRDefault="00D22869">
      <w:pPr>
        <w:pBdr>
          <w:top w:val="nil"/>
          <w:left w:val="nil"/>
          <w:bottom w:val="nil"/>
          <w:right w:val="nil"/>
          <w:between w:val="nil"/>
        </w:pBdr>
        <w:spacing w:before="200" w:after="240" w:line="276" w:lineRule="auto"/>
        <w:jc w:val="both"/>
      </w:pPr>
      <w:r>
        <w:t>Destinataria dell’intervento normativo è l’Emeroteca-Biblioteca Tucci di Napoli.</w:t>
      </w:r>
    </w:p>
    <w:p w14:paraId="0CD77C8B" w14:textId="77777777" w:rsidR="006D7E4C" w:rsidRDefault="00D22869">
      <w:pPr>
        <w:pBdr>
          <w:top w:val="nil"/>
          <w:left w:val="nil"/>
          <w:bottom w:val="nil"/>
          <w:right w:val="nil"/>
          <w:between w:val="nil"/>
        </w:pBdr>
        <w:spacing w:before="200" w:line="276" w:lineRule="auto"/>
        <w:jc w:val="both"/>
      </w:pPr>
      <w:r>
        <w:t>Destinataria indiretta dell’intervento è la collet</w:t>
      </w:r>
      <w:r>
        <w:t>tività regionale nel suo insieme, in quanto beneficiaria del suo inestimabile patrimonio storico-culturale, nonché delle attività connesse allo stesso e garantite unicamente da una piena operatività dell’Ente.</w:t>
      </w:r>
    </w:p>
    <w:p w14:paraId="41D199E4" w14:textId="77777777" w:rsidR="006D7E4C" w:rsidRDefault="00D22869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</w:t>
      </w:r>
      <w:r>
        <w:rPr>
          <w:b/>
        </w:rPr>
        <w:t>__________________________________</w:t>
      </w:r>
    </w:p>
    <w:p w14:paraId="21099EEA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2</w:t>
      </w:r>
    </w:p>
    <w:p w14:paraId="09223DBE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Procedure di consultazione precedenti l’intervento</w:t>
      </w:r>
    </w:p>
    <w:p w14:paraId="01A7677C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0E39C223" w14:textId="77777777" w:rsidR="006D7E4C" w:rsidRDefault="00D22869">
      <w:pPr>
        <w:jc w:val="both"/>
      </w:pPr>
      <w:r>
        <w:t>L’intervento normativo è scaturito dalla conoscenza delle serie condizioni di difficoltà economica in cui versa attualmente l’Emeroteca-Biblioteca Tucci di Napoli.</w:t>
      </w:r>
    </w:p>
    <w:p w14:paraId="58D97422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29492344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3</w:t>
      </w:r>
    </w:p>
    <w:p w14:paraId="75DAC0DD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V</w:t>
      </w:r>
      <w:r>
        <w:rPr>
          <w:b/>
        </w:rPr>
        <w:t>alutazione dell’opzione di non intervento di regolamentazione (opzione zero)</w:t>
      </w:r>
    </w:p>
    <w:p w14:paraId="6425E454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1CB56912" w14:textId="77777777" w:rsidR="006D7E4C" w:rsidRDefault="00D22869">
      <w:pPr>
        <w:jc w:val="both"/>
      </w:pPr>
      <w:r>
        <w:t>L’opzione zero è stata valutata come non percorribile, in quanto il mancato intervento di regolame</w:t>
      </w:r>
      <w:r>
        <w:t>ntazione non sarebbe in grado di fornire una risposta valida agli obiettivi e alle finalità indicati nella sezione 1. Si rende infatti necessario procedere al rifinanziamento di una legge regionale di spesa quale è la n. 12 del 5 giugno 1996.</w:t>
      </w:r>
    </w:p>
    <w:p w14:paraId="768CA95C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_____________</w:t>
      </w:r>
      <w:r>
        <w:rPr>
          <w:b/>
        </w:rPr>
        <w:t>___________________________________________________________________</w:t>
      </w:r>
    </w:p>
    <w:p w14:paraId="0D4A15C0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4</w:t>
      </w:r>
    </w:p>
    <w:p w14:paraId="6E312CCE" w14:textId="77777777" w:rsidR="006D7E4C" w:rsidRDefault="00D22869">
      <w:pPr>
        <w:spacing w:line="276" w:lineRule="auto"/>
        <w:jc w:val="both"/>
        <w:rPr>
          <w:b/>
        </w:rPr>
      </w:pPr>
      <w:proofErr w:type="gramStart"/>
      <w:r>
        <w:rPr>
          <w:b/>
        </w:rPr>
        <w:t>Opzioni alternative</w:t>
      </w:r>
      <w:proofErr w:type="gramEnd"/>
      <w:r>
        <w:rPr>
          <w:b/>
        </w:rPr>
        <w:t xml:space="preserve"> all’intervento regolatorio</w:t>
      </w:r>
    </w:p>
    <w:p w14:paraId="6F90D4AB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223B8B73" w14:textId="77777777" w:rsidR="006D7E4C" w:rsidRDefault="00D22869">
      <w:pPr>
        <w:jc w:val="both"/>
      </w:pPr>
      <w:r>
        <w:t xml:space="preserve">Non sono configurabili </w:t>
      </w:r>
      <w:proofErr w:type="gramStart"/>
      <w:r>
        <w:t>opzioni alternative</w:t>
      </w:r>
      <w:proofErr w:type="gramEnd"/>
      <w:r>
        <w:t xml:space="preserve"> all’int</w:t>
      </w:r>
      <w:r>
        <w:t>ervento regolatorio, in quanto la modifica della normativa vigente non può che essere riservata a una fonte di rango primario quale la legge regionale (e solo successivamente ai relativi provvedimenti di esecuzione).</w:t>
      </w:r>
    </w:p>
    <w:p w14:paraId="616180D5" w14:textId="77777777" w:rsidR="006D7E4C" w:rsidRDefault="00D22869">
      <w:pPr>
        <w:jc w:val="both"/>
        <w:rPr>
          <w:b/>
        </w:rPr>
      </w:pPr>
      <w:r>
        <w:rPr>
          <w:b/>
        </w:rPr>
        <w:t>_______________________________________</w:t>
      </w:r>
      <w:r>
        <w:rPr>
          <w:b/>
        </w:rPr>
        <w:t>_________________________________________</w:t>
      </w:r>
    </w:p>
    <w:p w14:paraId="00B798BB" w14:textId="77777777" w:rsidR="001A3D14" w:rsidRDefault="001A3D14">
      <w:pPr>
        <w:spacing w:before="240" w:line="276" w:lineRule="auto"/>
        <w:jc w:val="both"/>
        <w:rPr>
          <w:b/>
        </w:rPr>
      </w:pPr>
    </w:p>
    <w:p w14:paraId="74986536" w14:textId="70156B05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lastRenderedPageBreak/>
        <w:t>SEZIONE 5</w:t>
      </w:r>
    </w:p>
    <w:p w14:paraId="156FAFCC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Giustificazione dell’opzione regolatoria proposta e valutazione degli oneri amministrativi e dell’impatto sulle PMI</w:t>
      </w:r>
    </w:p>
    <w:p w14:paraId="78B7DD3A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40AEFC25" w14:textId="77777777" w:rsidR="006D7E4C" w:rsidRDefault="00D2286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  <w:r>
        <w:rPr>
          <w:b/>
          <w:i/>
          <w:color w:val="000000"/>
        </w:rPr>
        <w:t>Svantag</w:t>
      </w:r>
      <w:r>
        <w:rPr>
          <w:b/>
          <w:i/>
          <w:color w:val="000000"/>
        </w:rPr>
        <w:t>gi e vantaggi dell’opzione prescelta per i destinatari diretti e indiretti</w:t>
      </w:r>
    </w:p>
    <w:p w14:paraId="140BFDDF" w14:textId="77777777" w:rsidR="006D7E4C" w:rsidRDefault="00D22869">
      <w:pPr>
        <w:spacing w:before="240"/>
        <w:jc w:val="both"/>
      </w:pPr>
      <w:r>
        <w:t>L’opzione proposta determina vantaggi per i destinatari diretti e indiretti dell’intervento, come dettagliatamente elencati alla Sez. 1, lett. d).</w:t>
      </w:r>
    </w:p>
    <w:p w14:paraId="2B17131A" w14:textId="77777777" w:rsidR="006D7E4C" w:rsidRDefault="00D22869">
      <w:pPr>
        <w:spacing w:before="240" w:after="200"/>
        <w:jc w:val="both"/>
      </w:pPr>
      <w:r>
        <w:t>Il presente intervento non comporta svantaggi di alcun genere.</w:t>
      </w:r>
    </w:p>
    <w:p w14:paraId="2F44A40A" w14:textId="77777777" w:rsidR="006D7E4C" w:rsidRDefault="00D2286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  <w:r>
        <w:rPr>
          <w:b/>
          <w:i/>
          <w:color w:val="000000"/>
        </w:rPr>
        <w:t>Individuazione e stima degli effetti dell’opzi</w:t>
      </w:r>
      <w:r>
        <w:rPr>
          <w:b/>
          <w:i/>
          <w:color w:val="000000"/>
        </w:rPr>
        <w:t>one prescelta sulle micro, piccole e medie imprese</w:t>
      </w:r>
    </w:p>
    <w:p w14:paraId="7755D411" w14:textId="77777777" w:rsidR="006D7E4C" w:rsidRDefault="00D22869">
      <w:pPr>
        <w:spacing w:before="200"/>
        <w:jc w:val="both"/>
      </w:pPr>
      <w:r>
        <w:t>L’opzione prescelta non produce particolari effetti sulle MPMI.</w:t>
      </w:r>
    </w:p>
    <w:p w14:paraId="32B59879" w14:textId="77777777" w:rsidR="006D7E4C" w:rsidRDefault="006D7E4C">
      <w:pPr>
        <w:jc w:val="both"/>
      </w:pPr>
    </w:p>
    <w:p w14:paraId="7BA71D04" w14:textId="77777777" w:rsidR="006D7E4C" w:rsidRDefault="00D22869">
      <w:pPr>
        <w:numPr>
          <w:ilvl w:val="0"/>
          <w:numId w:val="3"/>
        </w:numPr>
        <w:spacing w:after="200"/>
        <w:jc w:val="both"/>
        <w:rPr>
          <w:b/>
          <w:i/>
        </w:rPr>
      </w:pPr>
      <w:r>
        <w:rPr>
          <w:b/>
          <w:i/>
        </w:rPr>
        <w:t>Indicazione e stima degli oneri informativi e dei relativi costi amministrativi, introdotti o eliminati a carico di cittadini e imprese. Per</w:t>
      </w:r>
      <w:r>
        <w:rPr>
          <w:b/>
          <w:i/>
        </w:rPr>
        <w:t xml:space="preserve"> onere informativo si intende qualunque tipologia di adempimento comportante raccolta, elaborazione, trasmissione, conservazione e produzione di informazioni, comunicazioni e documenti alla pubblica amministrazione</w:t>
      </w:r>
    </w:p>
    <w:p w14:paraId="55111218" w14:textId="77777777" w:rsidR="006D7E4C" w:rsidRDefault="00D22869">
      <w:pPr>
        <w:spacing w:before="200"/>
        <w:jc w:val="both"/>
      </w:pPr>
      <w:r>
        <w:t xml:space="preserve">L’intervento regolatorio non comporta riduzione di oneri informativi o costi a carico dei cittadini o delle imprese. </w:t>
      </w:r>
    </w:p>
    <w:p w14:paraId="0AF01570" w14:textId="77777777" w:rsidR="006D7E4C" w:rsidRDefault="00D22869">
      <w:pPr>
        <w:spacing w:after="200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377320B0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6</w:t>
      </w:r>
    </w:p>
    <w:p w14:paraId="56B9BFDA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Incidenza sul corretto funzionamento concorrenz</w:t>
      </w:r>
      <w:r>
        <w:rPr>
          <w:b/>
        </w:rPr>
        <w:t xml:space="preserve">iale del mercato e sulla competitività regionale, nonché sulle politiche giovanili </w:t>
      </w:r>
    </w:p>
    <w:p w14:paraId="2F01E5B7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76D656F3" w14:textId="77777777" w:rsidR="006D7E4C" w:rsidRDefault="00D22869">
      <w:pPr>
        <w:jc w:val="both"/>
      </w:pPr>
      <w:r>
        <w:t>L’opzione prescelta non incide sul corretto funzionamento del mercato e sulla competitività</w:t>
      </w:r>
      <w:r>
        <w:t xml:space="preserve"> regionale. L’intervento normativo è in grado inoltre di apportare benefici sulla platea giovanile della Regione, in termini di garanzia della piena fruizione di un patrimonio culturale unico, quale è quello di cui l’Emeroteca è custode.</w:t>
      </w:r>
    </w:p>
    <w:p w14:paraId="17D28E55" w14:textId="77777777" w:rsidR="006D7E4C" w:rsidRDefault="00D22869">
      <w:pPr>
        <w:spacing w:after="240"/>
        <w:jc w:val="both"/>
        <w:rPr>
          <w:b/>
        </w:rPr>
      </w:pPr>
      <w:r>
        <w:rPr>
          <w:b/>
        </w:rPr>
        <w:t>__________________</w:t>
      </w:r>
      <w:r>
        <w:rPr>
          <w:b/>
        </w:rPr>
        <w:t>______________________________________________________________</w:t>
      </w:r>
    </w:p>
    <w:p w14:paraId="03AB15A5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7</w:t>
      </w:r>
    </w:p>
    <w:p w14:paraId="556A0859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 xml:space="preserve">Modalità attuative dell’intervento di regolamentazione </w:t>
      </w:r>
    </w:p>
    <w:p w14:paraId="5FCF1B04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274C5CBE" w14:textId="77777777" w:rsidR="006D7E4C" w:rsidRDefault="00D2286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  <w:r>
        <w:rPr>
          <w:b/>
          <w:i/>
          <w:color w:val="000000"/>
        </w:rPr>
        <w:t>Soggetti responsabili dell’attuazione dell’intervento regolatorio</w:t>
      </w:r>
    </w:p>
    <w:p w14:paraId="378EBB44" w14:textId="77777777" w:rsidR="006D7E4C" w:rsidRDefault="00D22869">
      <w:pPr>
        <w:spacing w:before="240"/>
        <w:jc w:val="both"/>
      </w:pPr>
      <w:r>
        <w:t xml:space="preserve">Sono responsabili dell’attuazione delle disposizioni la Regione (Giunta regionale e strutture amministrative </w:t>
      </w:r>
      <w:r>
        <w:t>competenti) e l’Ente beneficiario del contributo economico.</w:t>
      </w:r>
    </w:p>
    <w:p w14:paraId="79B2FC29" w14:textId="77777777" w:rsidR="006D7E4C" w:rsidRDefault="006D7E4C">
      <w:pPr>
        <w:jc w:val="both"/>
      </w:pPr>
    </w:p>
    <w:p w14:paraId="6280B6A4" w14:textId="77777777" w:rsidR="006D7E4C" w:rsidRDefault="00D2286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b/>
          <w:i/>
          <w:color w:val="000000"/>
        </w:rPr>
      </w:pPr>
      <w:r>
        <w:rPr>
          <w:b/>
          <w:i/>
        </w:rPr>
        <w:t>Azioni per la pubblicità e per l’informazione dell’intervento</w:t>
      </w:r>
    </w:p>
    <w:p w14:paraId="7EEB9441" w14:textId="77777777" w:rsidR="006D7E4C" w:rsidRDefault="00D22869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</w:pPr>
      <w:r>
        <w:t>Si prevede la consueta pubblicazione nel Bollettino Ufficiale della Regione Campania.</w:t>
      </w:r>
    </w:p>
    <w:p w14:paraId="2EA38A49" w14:textId="77777777" w:rsidR="006D7E4C" w:rsidRDefault="00D2286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  <w:r>
        <w:rPr>
          <w:b/>
          <w:i/>
          <w:color w:val="000000"/>
        </w:rPr>
        <w:t>Strumenti e modalità per il controllo e il moni</w:t>
      </w:r>
      <w:r>
        <w:rPr>
          <w:b/>
          <w:i/>
          <w:color w:val="000000"/>
        </w:rPr>
        <w:t>toraggio dell’intervento regolatorio</w:t>
      </w:r>
    </w:p>
    <w:p w14:paraId="52FCD1FC" w14:textId="77777777" w:rsidR="006D7E4C" w:rsidRDefault="00D22869">
      <w:pPr>
        <w:spacing w:before="240"/>
        <w:jc w:val="both"/>
      </w:pPr>
      <w:r>
        <w:t>L’articolo 13 della vigente legge regionale 37/2012 prevede lo svolgimento di specifiche attività di monitoraggio sugli effetti dell’intervento normativo. Inoltre, l’articolo 7 della legge reg. 11/2015, come modificato dall’articolo 61 della legge reg. 18/</w:t>
      </w:r>
      <w:r>
        <w:t>2022, dispone che, al fine di migliorare i processi di informazione e trasparenza sugli esiti delle politiche regionali, entro e non oltre il 30 aprile di ciascun anno, la Giunta regionale provveda a trasmettere al Consiglio relazioni informative sugli att</w:t>
      </w:r>
      <w:r>
        <w:t>i normativi previsti che comportino nuove o maggiori spese, con particolare riguardo alle risorse stanziate e utilizzate nell’annualità di riferimento. Nel rispetto delle disposizioni del Regolamento interno del Consiglio regionale, è previsto che le relaz</w:t>
      </w:r>
      <w:r>
        <w:t>ioni siano esaminate dalle commissioni consiliari competenti per materia per le valutazioni di competenza.</w:t>
      </w:r>
    </w:p>
    <w:p w14:paraId="4810849E" w14:textId="77777777" w:rsidR="006D7E4C" w:rsidRDefault="006D7E4C">
      <w:pPr>
        <w:jc w:val="both"/>
      </w:pPr>
    </w:p>
    <w:p w14:paraId="3CBC7398" w14:textId="77777777" w:rsidR="006D7E4C" w:rsidRDefault="00D2286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  <w:r>
        <w:rPr>
          <w:b/>
          <w:i/>
          <w:color w:val="000000"/>
        </w:rPr>
        <w:t>Meccanismi previsti per la revisione dell’intervento regolatorio</w:t>
      </w:r>
    </w:p>
    <w:p w14:paraId="24AB7206" w14:textId="77777777" w:rsidR="006D7E4C" w:rsidRDefault="00D22869">
      <w:pPr>
        <w:spacing w:before="200"/>
        <w:jc w:val="both"/>
      </w:pPr>
      <w:r>
        <w:t>Non sono contemplati specifici meccanismi di revisione dell’articolato. Gli interve</w:t>
      </w:r>
      <w:r>
        <w:t>nti che si dovessero rendere necessari per integrare l’impianto normativo potranno essere realizzati attraverso successive modificazioni normative o, nei casi in cui è previsto, attraverso provvedimenti di dettaglio demandati alla Giunta regionale.</w:t>
      </w:r>
    </w:p>
    <w:p w14:paraId="604227EB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_______</w:t>
      </w:r>
      <w:r>
        <w:rPr>
          <w:b/>
        </w:rPr>
        <w:t>_________________________________________________________________________</w:t>
      </w:r>
    </w:p>
    <w:p w14:paraId="6502571C" w14:textId="77777777" w:rsidR="006D7E4C" w:rsidRDefault="00D22869">
      <w:pPr>
        <w:spacing w:before="240" w:line="276" w:lineRule="auto"/>
        <w:jc w:val="both"/>
        <w:rPr>
          <w:b/>
        </w:rPr>
      </w:pPr>
      <w:r>
        <w:rPr>
          <w:b/>
        </w:rPr>
        <w:t>SEZIONE 8</w:t>
      </w:r>
    </w:p>
    <w:p w14:paraId="25D4A6DD" w14:textId="77777777" w:rsidR="006D7E4C" w:rsidRDefault="00D22869">
      <w:pPr>
        <w:spacing w:line="276" w:lineRule="auto"/>
        <w:jc w:val="both"/>
        <w:rPr>
          <w:b/>
        </w:rPr>
      </w:pPr>
      <w:r>
        <w:rPr>
          <w:b/>
        </w:rPr>
        <w:t>Rispetto dei livelli minimi di regolazione europea</w:t>
      </w:r>
    </w:p>
    <w:p w14:paraId="6A123005" w14:textId="77777777" w:rsidR="006D7E4C" w:rsidRDefault="00D22869">
      <w:pPr>
        <w:spacing w:after="240" w:line="276" w:lineRule="auto"/>
        <w:jc w:val="both"/>
        <w:rPr>
          <w:b/>
        </w:rPr>
      </w:pPr>
      <w:r>
        <w:rPr>
          <w:b/>
        </w:rPr>
        <w:t>________________________________________________________________________________</w:t>
      </w:r>
    </w:p>
    <w:p w14:paraId="56C91172" w14:textId="77777777" w:rsidR="006D7E4C" w:rsidRDefault="00D22869">
      <w:pPr>
        <w:jc w:val="both"/>
      </w:pPr>
      <w:r>
        <w:t>L’intervento regolatorio rispetta i live</w:t>
      </w:r>
      <w:r>
        <w:t>lli minimi di regolazione europea, non introducendo requisiti tecnici, obblighi e oneri di portata superiore rispetto a quanto già previsto.</w:t>
      </w:r>
    </w:p>
    <w:sectPr w:rsidR="006D7E4C">
      <w:headerReference w:type="default" r:id="rId8"/>
      <w:footerReference w:type="default" r:id="rId9"/>
      <w:headerReference w:type="first" r:id="rId10"/>
      <w:pgSz w:w="11906" w:h="16838"/>
      <w:pgMar w:top="1417" w:right="1134" w:bottom="1134" w:left="1134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A68641" w14:textId="77777777" w:rsidR="00D22869" w:rsidRDefault="00D22869">
      <w:r>
        <w:separator/>
      </w:r>
    </w:p>
  </w:endnote>
  <w:endnote w:type="continuationSeparator" w:id="0">
    <w:p w14:paraId="0ED4A008" w14:textId="77777777" w:rsidR="00D22869" w:rsidRDefault="00D22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D2313" w14:textId="77777777" w:rsidR="006D7E4C" w:rsidRDefault="00D2286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 w:rsidR="001A3D14">
      <w:rPr>
        <w:color w:val="000000"/>
        <w:sz w:val="22"/>
        <w:szCs w:val="22"/>
      </w:rPr>
      <w:fldChar w:fldCharType="separate"/>
    </w:r>
    <w:r w:rsidR="001A3D14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14:paraId="7F477D85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entury Schoolbook" w:eastAsia="Century Schoolbook" w:hAnsi="Century Schoolbook" w:cs="Century Schoolbook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71E83" w14:textId="77777777" w:rsidR="00D22869" w:rsidRDefault="00D22869">
      <w:r>
        <w:separator/>
      </w:r>
    </w:p>
  </w:footnote>
  <w:footnote w:type="continuationSeparator" w:id="0">
    <w:p w14:paraId="68A86386" w14:textId="77777777" w:rsidR="00D22869" w:rsidRDefault="00D22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9B9D4F" w14:textId="77777777" w:rsidR="006D7E4C" w:rsidRDefault="00D22869">
    <w:pPr>
      <w:tabs>
        <w:tab w:val="left" w:pos="6490"/>
      </w:tabs>
      <w:rPr>
        <w:sz w:val="23"/>
        <w:szCs w:val="23"/>
      </w:rPr>
    </w:pPr>
    <w:r>
      <w:rPr>
        <w:sz w:val="23"/>
        <w:szCs w:val="23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63F4BF1A" wp14:editId="3F543A43">
          <wp:simplePos x="0" y="0"/>
          <wp:positionH relativeFrom="column">
            <wp:posOffset>2019300</wp:posOffset>
          </wp:positionH>
          <wp:positionV relativeFrom="paragraph">
            <wp:posOffset>101268</wp:posOffset>
          </wp:positionV>
          <wp:extent cx="2172018" cy="1126565"/>
          <wp:effectExtent l="0" t="0" r="0" b="0"/>
          <wp:wrapNone/>
          <wp:docPr id="1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3893" t="13490" r="13588" b="41608"/>
                  <a:stretch>
                    <a:fillRect/>
                  </a:stretch>
                </pic:blipFill>
                <pic:spPr>
                  <a:xfrm>
                    <a:off x="0" y="0"/>
                    <a:ext cx="2172018" cy="1126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EE8E4E" w14:textId="77777777" w:rsidR="006D7E4C" w:rsidRDefault="006D7E4C">
    <w:pPr>
      <w:tabs>
        <w:tab w:val="left" w:pos="6490"/>
      </w:tabs>
      <w:rPr>
        <w:sz w:val="23"/>
        <w:szCs w:val="23"/>
      </w:rPr>
    </w:pPr>
  </w:p>
  <w:p w14:paraId="5ED61F6D" w14:textId="77777777" w:rsidR="006D7E4C" w:rsidRDefault="006D7E4C">
    <w:pPr>
      <w:tabs>
        <w:tab w:val="left" w:pos="6490"/>
      </w:tabs>
      <w:rPr>
        <w:sz w:val="23"/>
        <w:szCs w:val="23"/>
      </w:rPr>
    </w:pPr>
  </w:p>
  <w:p w14:paraId="57807150" w14:textId="77777777" w:rsidR="006D7E4C" w:rsidRDefault="006D7E4C">
    <w:pPr>
      <w:tabs>
        <w:tab w:val="left" w:pos="6490"/>
      </w:tabs>
      <w:rPr>
        <w:sz w:val="23"/>
        <w:szCs w:val="23"/>
      </w:rPr>
    </w:pPr>
  </w:p>
  <w:p w14:paraId="7587E64C" w14:textId="77777777" w:rsidR="006D7E4C" w:rsidRDefault="006D7E4C">
    <w:pPr>
      <w:tabs>
        <w:tab w:val="left" w:pos="6490"/>
      </w:tabs>
      <w:rPr>
        <w:sz w:val="23"/>
        <w:szCs w:val="23"/>
      </w:rPr>
    </w:pPr>
  </w:p>
  <w:p w14:paraId="799AE273" w14:textId="77777777" w:rsidR="006D7E4C" w:rsidRDefault="006D7E4C">
    <w:pPr>
      <w:tabs>
        <w:tab w:val="left" w:pos="6490"/>
      </w:tabs>
      <w:rPr>
        <w:sz w:val="23"/>
        <w:szCs w:val="23"/>
      </w:rPr>
    </w:pPr>
  </w:p>
  <w:p w14:paraId="45EE44E5" w14:textId="77777777" w:rsidR="006D7E4C" w:rsidRDefault="006D7E4C">
    <w:pPr>
      <w:tabs>
        <w:tab w:val="left" w:pos="6490"/>
      </w:tabs>
      <w:rPr>
        <w:sz w:val="23"/>
        <w:szCs w:val="23"/>
      </w:rPr>
    </w:pPr>
  </w:p>
  <w:p w14:paraId="60D5ED6A" w14:textId="77777777" w:rsidR="006D7E4C" w:rsidRDefault="006D7E4C">
    <w:pPr>
      <w:rPr>
        <w:sz w:val="23"/>
        <w:szCs w:val="23"/>
      </w:rPr>
    </w:pPr>
  </w:p>
  <w:p w14:paraId="0A01EEC0" w14:textId="77777777" w:rsidR="006D7E4C" w:rsidRDefault="006D7E4C">
    <w:pPr>
      <w:jc w:val="center"/>
      <w:rPr>
        <w:sz w:val="23"/>
        <w:szCs w:val="23"/>
      </w:rPr>
    </w:pPr>
  </w:p>
  <w:p w14:paraId="0730FD2B" w14:textId="77777777" w:rsidR="006D7E4C" w:rsidRDefault="006D7E4C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70C56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138131A9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5E5AE1E1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5F986B7F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7560E384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21052CE0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5E9752D5" w14:textId="77777777" w:rsidR="006D7E4C" w:rsidRDefault="006D7E4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</w:p>
  <w:p w14:paraId="6E519DD4" w14:textId="77777777" w:rsidR="006D7E4C" w:rsidRDefault="00D2286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D4BF2CF" wp14:editId="05AEBA35">
          <wp:simplePos x="0" y="0"/>
          <wp:positionH relativeFrom="margin">
            <wp:align>center</wp:align>
          </wp:positionH>
          <wp:positionV relativeFrom="page">
            <wp:posOffset>448310</wp:posOffset>
          </wp:positionV>
          <wp:extent cx="2172018" cy="1126565"/>
          <wp:effectExtent l="0" t="0" r="0" b="0"/>
          <wp:wrapNone/>
          <wp:docPr id="1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3893" t="13490" r="13588" b="41608"/>
                  <a:stretch>
                    <a:fillRect/>
                  </a:stretch>
                </pic:blipFill>
                <pic:spPr>
                  <a:xfrm>
                    <a:off x="0" y="0"/>
                    <a:ext cx="2172018" cy="11265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7C27A3"/>
    <w:multiLevelType w:val="multilevel"/>
    <w:tmpl w:val="A1E8BC4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F112D0"/>
    <w:multiLevelType w:val="multilevel"/>
    <w:tmpl w:val="D45077B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7CC45D9"/>
    <w:multiLevelType w:val="multilevel"/>
    <w:tmpl w:val="CC6259E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BB13A07"/>
    <w:multiLevelType w:val="multilevel"/>
    <w:tmpl w:val="D9A4EE6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66615E"/>
    <w:multiLevelType w:val="multilevel"/>
    <w:tmpl w:val="55DA209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214EE2"/>
    <w:multiLevelType w:val="multilevel"/>
    <w:tmpl w:val="E782FAF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BE20BAE"/>
    <w:multiLevelType w:val="multilevel"/>
    <w:tmpl w:val="800E022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E4C"/>
    <w:rsid w:val="001A3D14"/>
    <w:rsid w:val="006D7E4C"/>
    <w:rsid w:val="00D2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CE160"/>
  <w15:docId w15:val="{DC7E328F-EE77-46FA-9EE2-E6C76C9C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2B6D"/>
  </w:style>
  <w:style w:type="paragraph" w:styleId="Titolo1">
    <w:name w:val="heading 1"/>
    <w:basedOn w:val="Normale"/>
    <w:link w:val="Titolo1Carattere"/>
    <w:uiPriority w:val="9"/>
    <w:qFormat/>
    <w:rsid w:val="00E94C63"/>
    <w:pPr>
      <w:keepNext/>
      <w:jc w:val="center"/>
      <w:outlineLvl w:val="0"/>
    </w:pPr>
    <w:rPr>
      <w:i/>
      <w:iCs/>
      <w:kern w:val="36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9"/>
    <w:rsid w:val="00E94C63"/>
    <w:rPr>
      <w:rFonts w:ascii="Times New Roman" w:hAnsi="Times New Roman" w:cs="Times New Roman"/>
      <w:i/>
      <w:iCs/>
      <w:kern w:val="36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94C6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E94C63"/>
  </w:style>
  <w:style w:type="character" w:styleId="Enfasigrassetto">
    <w:name w:val="Strong"/>
    <w:basedOn w:val="Carpredefinitoparagrafo"/>
    <w:uiPriority w:val="22"/>
    <w:qFormat/>
    <w:rsid w:val="00E94C6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79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792"/>
    <w:rPr>
      <w:rFonts w:ascii="Segoe UI" w:hAnsi="Segoe UI" w:cs="Segoe UI"/>
      <w:sz w:val="18"/>
      <w:szCs w:val="1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00A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0A33"/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C2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B6B81"/>
    <w:pPr>
      <w:ind w:left="720"/>
      <w:contextualSpacing/>
    </w:pPr>
  </w:style>
  <w:style w:type="character" w:customStyle="1" w:styleId="MSGENFONTSTYLENAMETEMPLATEROLENUMBERMSGENFONTSTYLENAMEBYROLETEXT2">
    <w:name w:val="MSG_EN_FONT_STYLE_NAME_TEMPLATE_ROLE_NUMBER MSG_EN_FONT_STYLE_NAME_BY_ROLE_TEXT 2_"/>
    <w:basedOn w:val="Carpredefinitoparagrafo"/>
    <w:rsid w:val="00DD09D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MSGENFONTSTYLENAMETEMPLATEROLENUMBERMSGENFONTSTYLENAMEBYROLETEXT20">
    <w:name w:val="MSG_EN_FONT_STYLE_NAME_TEMPLATE_ROLE_NUMBER MSG_EN_FONT_STYLE_NAME_BY_ROLE_TEXT 2"/>
    <w:basedOn w:val="MSGENFONTSTYLENAMETEMPLATEROLENUMBERMSGENFONTSTYLENAMEBYROLETEXT2"/>
    <w:rsid w:val="00DD09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pacing w:val="0"/>
      <w:w w:val="100"/>
      <w:position w:val="0"/>
      <w:sz w:val="24"/>
      <w:szCs w:val="24"/>
      <w:u w:val="none"/>
      <w:lang w:val="it-IT" w:eastAsia="it-IT" w:bidi="it-IT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sqkJjX7CJO3NG4ThnFOkIj89wQ==">CgMxLjA4AHIhMWpMYk83eXZkbDVIZHZ6LTgzbUxmZnUxZ0hVMGtHTzNi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1677</Words>
  <Characters>9560</Characters>
  <Application>Microsoft Office Word</Application>
  <DocSecurity>0</DocSecurity>
  <Lines>79</Lines>
  <Paragraphs>22</Paragraphs>
  <ScaleCrop>false</ScaleCrop>
  <Company/>
  <LinksUpToDate>false</LinksUpToDate>
  <CharactersWithSpaces>11215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Mocerino Carmine Staff</dc:creator>
  <cp:lastModifiedBy>Valeria Ciarambino Staff</cp:lastModifiedBy>
  <cp:revision>2</cp:revision>
  <dcterms:created xsi:type="dcterms:W3CDTF">2021-01-29T15:26:00Z</dcterms:created>
  <dcterms:modified xsi:type="dcterms:W3CDTF">2023-10-19T14:49:00Z</dcterms:modified>
</cp:coreProperties>
</file>