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F4BD72" w14:textId="2817EA35" w:rsidR="00904719" w:rsidRDefault="00000000">
      <w:pPr>
        <w:pBdr>
          <w:top w:val="nil"/>
          <w:left w:val="nil"/>
          <w:bottom w:val="nil"/>
          <w:right w:val="nil"/>
          <w:between w:val="nil"/>
        </w:pBdr>
        <w:tabs>
          <w:tab w:val="left" w:pos="540"/>
        </w:tabs>
        <w:spacing w:line="240" w:lineRule="auto"/>
        <w:ind w:left="0" w:hanging="2"/>
        <w:rPr>
          <w:rFonts w:ascii="Bookman Old Style" w:eastAsia="Bookman Old Style" w:hAnsi="Bookman Old Style" w:cs="Bookman Old Style"/>
          <w:color w:val="000000"/>
        </w:rPr>
      </w:pPr>
      <w:r>
        <w:rPr>
          <w:rFonts w:ascii="Bookman Old Style" w:eastAsia="Bookman Old Style" w:hAnsi="Bookman Old Style" w:cs="Bookman Old Style"/>
          <w:b/>
          <w:color w:val="000000"/>
        </w:rPr>
        <w:t>Relazione descrittiva</w:t>
      </w:r>
    </w:p>
    <w:p w14:paraId="0414B328" w14:textId="77777777" w:rsidR="00904719" w:rsidRDefault="00904719">
      <w:pPr>
        <w:pBdr>
          <w:top w:val="nil"/>
          <w:left w:val="nil"/>
          <w:bottom w:val="nil"/>
          <w:right w:val="nil"/>
          <w:between w:val="nil"/>
        </w:pBdr>
        <w:tabs>
          <w:tab w:val="left" w:pos="540"/>
        </w:tabs>
        <w:spacing w:line="240" w:lineRule="auto"/>
        <w:ind w:left="0" w:hanging="2"/>
        <w:rPr>
          <w:rFonts w:ascii="Bookman Old Style" w:eastAsia="Bookman Old Style" w:hAnsi="Bookman Old Style" w:cs="Bookman Old Style"/>
          <w:color w:val="000000"/>
        </w:rPr>
      </w:pPr>
    </w:p>
    <w:p w14:paraId="2929B902" w14:textId="77777777" w:rsidR="00904719" w:rsidRDefault="00000000">
      <w:pPr>
        <w:pBdr>
          <w:top w:val="nil"/>
          <w:left w:val="nil"/>
          <w:bottom w:val="nil"/>
          <w:right w:val="nil"/>
          <w:between w:val="nil"/>
        </w:pBdr>
        <w:tabs>
          <w:tab w:val="left" w:pos="540"/>
        </w:tabs>
        <w:spacing w:line="240" w:lineRule="auto"/>
        <w:ind w:left="0" w:hanging="2"/>
        <w:jc w:val="both"/>
        <w:rPr>
          <w:rFonts w:ascii="Bookman Old Style" w:eastAsia="Bookman Old Style" w:hAnsi="Bookman Old Style" w:cs="Bookman Old Style"/>
          <w:color w:val="000000"/>
        </w:rPr>
      </w:pPr>
      <w:r>
        <w:rPr>
          <w:rFonts w:ascii="Bookman Old Style" w:eastAsia="Bookman Old Style" w:hAnsi="Bookman Old Style" w:cs="Bookman Old Style"/>
          <w:b/>
          <w:color w:val="000000"/>
        </w:rPr>
        <w:tab/>
      </w:r>
      <w:r>
        <w:rPr>
          <w:rFonts w:ascii="Bookman Old Style" w:eastAsia="Bookman Old Style" w:hAnsi="Bookman Old Style" w:cs="Bookman Old Style"/>
          <w:color w:val="000000"/>
        </w:rPr>
        <w:t>La presente legge si applica ai Comuni, o a parti di essi, rientranti nella zona rossa ad alto rischio vulcanico della pianificazione nazionale d’emergenza dell’area flegrea del Dipartimento della Protezione Civile, individuati nel Decreto Campi Flegrei 2023.</w:t>
      </w:r>
    </w:p>
    <w:p w14:paraId="40AB5366" w14:textId="77777777" w:rsidR="00904719" w:rsidRDefault="00000000">
      <w:pPr>
        <w:pBdr>
          <w:top w:val="nil"/>
          <w:left w:val="nil"/>
          <w:bottom w:val="nil"/>
          <w:right w:val="nil"/>
          <w:between w:val="nil"/>
        </w:pBdr>
        <w:tabs>
          <w:tab w:val="left" w:pos="540"/>
        </w:tabs>
        <w:spacing w:line="240" w:lineRule="auto"/>
        <w:ind w:left="0" w:hanging="2"/>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Esso ha infatti stabilito che, con riferimento all’aggiornamento della pianificazione di emergenza per il rischio sismico-vulcanico in area flegrea, il Dipartimento della Protezione Civile ha posto in essere la ridefinizione della cosiddetta “Zona rossa”, ovvero dell’area ad elevata probabilità di invasione di flussi piroclastici e, quindi, da sottoporre a evacuazione cautelativa in caso di possibilità di ripresa dell’attività eruttiva.</w:t>
      </w:r>
      <w:r>
        <w:rPr>
          <w:rFonts w:ascii="Bookman Old Style" w:eastAsia="Bookman Old Style" w:hAnsi="Bookman Old Style" w:cs="Bookman Old Style"/>
          <w:color w:val="000000"/>
        </w:rPr>
        <w:tab/>
      </w:r>
      <w:r>
        <w:rPr>
          <w:rFonts w:ascii="Bookman Old Style" w:eastAsia="Bookman Old Style" w:hAnsi="Bookman Old Style" w:cs="Bookman Old Style"/>
          <w:color w:val="FF0000"/>
        </w:rPr>
        <w:tab/>
      </w:r>
    </w:p>
    <w:p w14:paraId="07AB4973" w14:textId="77777777" w:rsidR="00904719" w:rsidRDefault="00904719">
      <w:pPr>
        <w:pBdr>
          <w:top w:val="nil"/>
          <w:left w:val="nil"/>
          <w:bottom w:val="nil"/>
          <w:right w:val="nil"/>
          <w:between w:val="nil"/>
        </w:pBdr>
        <w:tabs>
          <w:tab w:val="left" w:pos="540"/>
        </w:tabs>
        <w:spacing w:line="240" w:lineRule="auto"/>
        <w:ind w:left="0" w:hanging="2"/>
        <w:jc w:val="both"/>
        <w:rPr>
          <w:rFonts w:ascii="Bookman Old Style" w:eastAsia="Bookman Old Style" w:hAnsi="Bookman Old Style" w:cs="Bookman Old Style"/>
          <w:color w:val="000000"/>
        </w:rPr>
      </w:pPr>
    </w:p>
    <w:p w14:paraId="512D68A3" w14:textId="77777777" w:rsidR="00904719" w:rsidRDefault="00000000">
      <w:pPr>
        <w:pBdr>
          <w:top w:val="nil"/>
          <w:left w:val="nil"/>
          <w:bottom w:val="nil"/>
          <w:right w:val="nil"/>
          <w:between w:val="nil"/>
        </w:pBdr>
        <w:tabs>
          <w:tab w:val="left" w:pos="540"/>
        </w:tabs>
        <w:spacing w:line="240" w:lineRule="auto"/>
        <w:ind w:left="0" w:hanging="2"/>
        <w:jc w:val="both"/>
        <w:rPr>
          <w:rFonts w:ascii="Bookman Old Style" w:eastAsia="Bookman Old Style" w:hAnsi="Bookman Old Style" w:cs="Bookman Old Style"/>
          <w:color w:val="000000"/>
        </w:rPr>
      </w:pPr>
      <w:r>
        <w:rPr>
          <w:rFonts w:ascii="Bookman Old Style" w:eastAsia="Bookman Old Style" w:hAnsi="Bookman Old Style" w:cs="Bookman Old Style"/>
          <w:b/>
          <w:color w:val="000000"/>
        </w:rPr>
        <w:tab/>
      </w:r>
      <w:r>
        <w:rPr>
          <w:rFonts w:ascii="Bookman Old Style" w:eastAsia="Bookman Old Style" w:hAnsi="Bookman Old Style" w:cs="Bookman Old Style"/>
          <w:color w:val="000000"/>
        </w:rPr>
        <w:t xml:space="preserve">Il testo si compone di </w:t>
      </w:r>
      <w:r>
        <w:rPr>
          <w:rFonts w:ascii="Bookman Old Style" w:eastAsia="Bookman Old Style" w:hAnsi="Bookman Old Style" w:cs="Bookman Old Style"/>
        </w:rPr>
        <w:t>8</w:t>
      </w:r>
      <w:r>
        <w:rPr>
          <w:rFonts w:ascii="Bookman Old Style" w:eastAsia="Bookman Old Style" w:hAnsi="Bookman Old Style" w:cs="Bookman Old Style"/>
          <w:color w:val="000000"/>
        </w:rPr>
        <w:t xml:space="preserve"> articoli. </w:t>
      </w:r>
    </w:p>
    <w:p w14:paraId="56142754" w14:textId="77777777" w:rsidR="00904719" w:rsidRDefault="00000000">
      <w:pPr>
        <w:pBdr>
          <w:top w:val="nil"/>
          <w:left w:val="nil"/>
          <w:bottom w:val="nil"/>
          <w:right w:val="nil"/>
          <w:between w:val="nil"/>
        </w:pBdr>
        <w:tabs>
          <w:tab w:val="left" w:pos="540"/>
        </w:tabs>
        <w:spacing w:line="240" w:lineRule="auto"/>
        <w:ind w:left="0" w:hanging="2"/>
        <w:jc w:val="both"/>
        <w:rPr>
          <w:rFonts w:ascii="Bookman Old Style" w:eastAsia="Bookman Old Style" w:hAnsi="Bookman Old Style" w:cs="Bookman Old Style"/>
          <w:color w:val="000000"/>
        </w:rPr>
      </w:pPr>
      <w:r>
        <w:rPr>
          <w:rFonts w:ascii="Bookman Old Style" w:eastAsia="Bookman Old Style" w:hAnsi="Bookman Old Style" w:cs="Bookman Old Style"/>
          <w:b/>
          <w:color w:val="000000"/>
        </w:rPr>
        <w:tab/>
      </w:r>
      <w:r>
        <w:rPr>
          <w:rFonts w:ascii="Bookman Old Style" w:eastAsia="Bookman Old Style" w:hAnsi="Bookman Old Style" w:cs="Bookman Old Style"/>
          <w:color w:val="000000"/>
        </w:rPr>
        <w:t>L’articolo 1 – Oggetto – definisce l’ambito applicativo della presente legge.</w:t>
      </w:r>
    </w:p>
    <w:p w14:paraId="5E35B3DB" w14:textId="77777777" w:rsidR="00904719" w:rsidRDefault="00000000">
      <w:pPr>
        <w:pBdr>
          <w:top w:val="nil"/>
          <w:left w:val="nil"/>
          <w:bottom w:val="nil"/>
          <w:right w:val="nil"/>
          <w:between w:val="nil"/>
        </w:pBdr>
        <w:tabs>
          <w:tab w:val="left" w:pos="540"/>
        </w:tabs>
        <w:spacing w:line="240" w:lineRule="auto"/>
        <w:ind w:left="0" w:hanging="2"/>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ab/>
        <w:t>L’articolo 2 dispone le misure attuative e in particolare stabilisce che gli strumenti urbanistici generali e attuativi dei Comuni ricadenti nell’area non possono contenere disposizioni che consentono l’incremento dell’edificazione a scopo residenziale, mediante l’aumento dei volumi abitabili e dei carichi urbanistici derivanti dai pesi insediativi nei rispettivi territori. Entro sei mesi dalla data di entrata in vigore della legge, la Città Metropolitana di Napoli, d’intesa con la Regione e con i Comuni ricadenti nell’area, provvede alla redazione di un piano strategico operativo da approvare in Consiglio regionale, al fine di definire le aree e gli insediamenti da sottoporre a programmi di interventi e di opere finalizzate alla decompressione della densità insediativa presente, nonché al potenziamento e miglioramento delle vie di fuga anche attraverso interventi di ristrutturazione urbanistica ed edilizia, di demolizione senza ricostruzione, di riqualificazione e di recupero ambientale, di valorizzazione dei centri storici, e di rifunzionalizzazione in favore delle attività produttive, turistico ricettive, terziarie ed attrezzature pubbliche e di interesse pubblico, nell’ambito degli obiettivi per la eliminazione di case e insediamenti malsani, degradati o comunque per processi di riqualificazione urbana, purché non comportanti pesi residenziali aggiuntivi incompatibili con le finalità della presente legge.</w:t>
      </w:r>
    </w:p>
    <w:p w14:paraId="4D41B971" w14:textId="77777777" w:rsidR="00904719" w:rsidRDefault="00000000">
      <w:pPr>
        <w:pBdr>
          <w:top w:val="nil"/>
          <w:left w:val="nil"/>
          <w:bottom w:val="nil"/>
          <w:right w:val="nil"/>
          <w:between w:val="nil"/>
        </w:pBdr>
        <w:tabs>
          <w:tab w:val="left" w:pos="540"/>
        </w:tabs>
        <w:spacing w:line="240" w:lineRule="auto"/>
        <w:ind w:left="0" w:hanging="2"/>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ab/>
      </w:r>
      <w:r>
        <w:rPr>
          <w:rFonts w:ascii="Bookman Old Style" w:eastAsia="Bookman Old Style" w:hAnsi="Bookman Old Style" w:cs="Bookman Old Style"/>
        </w:rPr>
        <w:t>L’articolo 3</w:t>
      </w:r>
      <w:r>
        <w:rPr>
          <w:rFonts w:ascii="Bookman Old Style" w:eastAsia="Bookman Old Style" w:hAnsi="Bookman Old Style" w:cs="Bookman Old Style"/>
          <w:color w:val="000000"/>
        </w:rPr>
        <w:t xml:space="preserve"> impon</w:t>
      </w:r>
      <w:r>
        <w:rPr>
          <w:rFonts w:ascii="Bookman Old Style" w:eastAsia="Bookman Old Style" w:hAnsi="Bookman Old Style" w:cs="Bookman Old Style"/>
        </w:rPr>
        <w:t>e</w:t>
      </w:r>
      <w:r>
        <w:rPr>
          <w:rFonts w:ascii="Bookman Old Style" w:eastAsia="Bookman Old Style" w:hAnsi="Bookman Old Style" w:cs="Bookman Old Style"/>
          <w:color w:val="000000"/>
        </w:rPr>
        <w:t xml:space="preserve"> ai comuni ricadenti nell’area di adeguare al divieto sancito all’articolo 2 gli strumenti urbanistici generali e attuativi che alla data di entrata in vigore della presente legge sono sia in corso di formazione che adottati, nonché quelli vigenti tramite varianti.</w:t>
      </w:r>
    </w:p>
    <w:p w14:paraId="6D73F891" w14:textId="77777777" w:rsidR="00904719" w:rsidRDefault="00000000">
      <w:pPr>
        <w:pBdr>
          <w:top w:val="nil"/>
          <w:left w:val="nil"/>
          <w:bottom w:val="nil"/>
          <w:right w:val="nil"/>
          <w:between w:val="nil"/>
        </w:pBdr>
        <w:tabs>
          <w:tab w:val="left" w:pos="540"/>
        </w:tabs>
        <w:spacing w:line="240" w:lineRule="auto"/>
        <w:ind w:left="0" w:hanging="2"/>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ab/>
        <w:t xml:space="preserve">L’articolo </w:t>
      </w:r>
      <w:r>
        <w:rPr>
          <w:rFonts w:ascii="Bookman Old Style" w:eastAsia="Bookman Old Style" w:hAnsi="Bookman Old Style" w:cs="Bookman Old Style"/>
        </w:rPr>
        <w:t>4</w:t>
      </w:r>
      <w:r>
        <w:rPr>
          <w:rFonts w:ascii="Bookman Old Style" w:eastAsia="Bookman Old Style" w:hAnsi="Bookman Old Style" w:cs="Bookman Old Style"/>
          <w:color w:val="000000"/>
        </w:rPr>
        <w:t xml:space="preserve"> pone dei divieti al rilascio di titoli edilizi abilitanti la realizzazione di interventi finalizzati all’incremento dell’edilizia residenziale, eccetto che per gli adeguamenti sismici e funzionali e di natura igienico-sanitaria degli immobili esistenti.</w:t>
      </w:r>
    </w:p>
    <w:p w14:paraId="1513CEAF" w14:textId="77777777" w:rsidR="00904719" w:rsidRDefault="00000000">
      <w:pPr>
        <w:pBdr>
          <w:top w:val="nil"/>
          <w:left w:val="nil"/>
          <w:bottom w:val="nil"/>
          <w:right w:val="nil"/>
          <w:between w:val="nil"/>
        </w:pBdr>
        <w:tabs>
          <w:tab w:val="left" w:pos="540"/>
        </w:tabs>
        <w:spacing w:line="240" w:lineRule="auto"/>
        <w:ind w:left="0" w:hanging="2"/>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ab/>
        <w:t xml:space="preserve">L’articolo </w:t>
      </w:r>
      <w:r>
        <w:rPr>
          <w:rFonts w:ascii="Bookman Old Style" w:eastAsia="Bookman Old Style" w:hAnsi="Bookman Old Style" w:cs="Bookman Old Style"/>
        </w:rPr>
        <w:t>5</w:t>
      </w:r>
      <w:r>
        <w:rPr>
          <w:rFonts w:ascii="Bookman Old Style" w:eastAsia="Bookman Old Style" w:hAnsi="Bookman Old Style" w:cs="Bookman Old Style"/>
          <w:color w:val="000000"/>
        </w:rPr>
        <w:t xml:space="preserve"> dispone prescrizioni al</w:t>
      </w:r>
      <w:r>
        <w:rPr>
          <w:rFonts w:ascii="Bookman Old Style" w:eastAsia="Bookman Old Style" w:hAnsi="Bookman Old Style" w:cs="Bookman Old Style"/>
        </w:rPr>
        <w:t xml:space="preserve">cune prescrizioni </w:t>
      </w:r>
      <w:r>
        <w:rPr>
          <w:rFonts w:ascii="Bookman Old Style" w:eastAsia="Bookman Old Style" w:hAnsi="Bookman Old Style" w:cs="Bookman Old Style"/>
          <w:color w:val="000000"/>
        </w:rPr>
        <w:t xml:space="preserve">operative, mentre l’articolo </w:t>
      </w:r>
      <w:r>
        <w:rPr>
          <w:rFonts w:ascii="Bookman Old Style" w:eastAsia="Bookman Old Style" w:hAnsi="Bookman Old Style" w:cs="Bookman Old Style"/>
        </w:rPr>
        <w:t>6</w:t>
      </w:r>
      <w:r>
        <w:rPr>
          <w:rFonts w:ascii="Bookman Old Style" w:eastAsia="Bookman Old Style" w:hAnsi="Bookman Old Style" w:cs="Bookman Old Style"/>
          <w:color w:val="000000"/>
        </w:rPr>
        <w:t xml:space="preserve"> stabilisce incentivi al trasferimento.</w:t>
      </w:r>
    </w:p>
    <w:p w14:paraId="3C55B53F" w14:textId="3880B557" w:rsidR="00904719" w:rsidRDefault="00000000" w:rsidP="00537662">
      <w:pPr>
        <w:pBdr>
          <w:top w:val="nil"/>
          <w:left w:val="nil"/>
          <w:bottom w:val="nil"/>
          <w:right w:val="nil"/>
          <w:between w:val="nil"/>
        </w:pBdr>
        <w:tabs>
          <w:tab w:val="left" w:pos="540"/>
        </w:tabs>
        <w:spacing w:line="240" w:lineRule="auto"/>
        <w:ind w:left="0" w:hanging="2"/>
        <w:jc w:val="both"/>
        <w:rPr>
          <w:rFonts w:ascii="Bookman Old Style" w:eastAsia="Bookman Old Style" w:hAnsi="Bookman Old Style" w:cs="Bookman Old Style"/>
          <w:color w:val="000000"/>
        </w:rPr>
      </w:pPr>
      <w:r>
        <w:rPr>
          <w:rFonts w:ascii="Bookman Old Style" w:eastAsia="Bookman Old Style" w:hAnsi="Bookman Old Style" w:cs="Bookman Old Style"/>
        </w:rPr>
        <w:t>L’articolo 7 reca la norma finanziaria, mentre l’articolo 8 dispone l’entrata in vigore del provvedimento al giorno successivo alla data di pubblicazione sul BURC.</w:t>
      </w:r>
    </w:p>
    <w:p w14:paraId="3F171252" w14:textId="77777777" w:rsidR="00904719" w:rsidRDefault="00904719">
      <w:pPr>
        <w:pBdr>
          <w:top w:val="nil"/>
          <w:left w:val="nil"/>
          <w:bottom w:val="nil"/>
          <w:right w:val="nil"/>
          <w:between w:val="nil"/>
        </w:pBdr>
        <w:spacing w:line="240" w:lineRule="auto"/>
        <w:ind w:left="0" w:hanging="2"/>
        <w:rPr>
          <w:rFonts w:ascii="Bookman Old Style" w:eastAsia="Bookman Old Style" w:hAnsi="Bookman Old Style" w:cs="Bookman Old Style"/>
          <w:color w:val="000000"/>
        </w:rPr>
      </w:pPr>
    </w:p>
    <w:sectPr w:rsidR="00904719">
      <w:headerReference w:type="default" r:id="rId8"/>
      <w:pgSz w:w="11900" w:h="17340"/>
      <w:pgMar w:top="917" w:right="862" w:bottom="284" w:left="1077"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D5820F" w14:textId="77777777" w:rsidR="008853B6" w:rsidRDefault="008853B6">
      <w:pPr>
        <w:spacing w:line="240" w:lineRule="auto"/>
        <w:ind w:left="0" w:hanging="2"/>
      </w:pPr>
      <w:r>
        <w:separator/>
      </w:r>
    </w:p>
  </w:endnote>
  <w:endnote w:type="continuationSeparator" w:id="0">
    <w:p w14:paraId="58F92854" w14:textId="77777777" w:rsidR="008853B6" w:rsidRDefault="008853B6">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8E4B55" w14:textId="77777777" w:rsidR="008853B6" w:rsidRDefault="008853B6">
      <w:pPr>
        <w:spacing w:line="240" w:lineRule="auto"/>
        <w:ind w:left="0" w:hanging="2"/>
      </w:pPr>
      <w:r>
        <w:separator/>
      </w:r>
    </w:p>
  </w:footnote>
  <w:footnote w:type="continuationSeparator" w:id="0">
    <w:p w14:paraId="60D0480B" w14:textId="77777777" w:rsidR="008853B6" w:rsidRDefault="008853B6">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C2D8B1" w14:textId="77777777" w:rsidR="00904719" w:rsidRDefault="00000000">
    <w:pPr>
      <w:pBdr>
        <w:top w:val="nil"/>
        <w:left w:val="nil"/>
        <w:bottom w:val="nil"/>
        <w:right w:val="nil"/>
        <w:between w:val="nil"/>
      </w:pBdr>
      <w:spacing w:line="312" w:lineRule="auto"/>
      <w:ind w:left="0" w:hanging="2"/>
      <w:jc w:val="center"/>
      <w:rPr>
        <w:color w:val="000000"/>
      </w:rPr>
    </w:pPr>
    <w:r>
      <w:rPr>
        <w:b/>
        <w:noProof/>
        <w:color w:val="000000"/>
      </w:rPr>
      <w:drawing>
        <wp:inline distT="0" distB="0" distL="114300" distR="114300" wp14:anchorId="056D002E" wp14:editId="41AC8C6C">
          <wp:extent cx="1184275" cy="608965"/>
          <wp:effectExtent l="0" t="0" r="0" b="0"/>
          <wp:docPr id="1027" name="image1.png" descr="headerL"/>
          <wp:cNvGraphicFramePr/>
          <a:graphic xmlns:a="http://schemas.openxmlformats.org/drawingml/2006/main">
            <a:graphicData uri="http://schemas.openxmlformats.org/drawingml/2006/picture">
              <pic:pic xmlns:pic="http://schemas.openxmlformats.org/drawingml/2006/picture">
                <pic:nvPicPr>
                  <pic:cNvPr id="0" name="image1.png" descr="headerL"/>
                  <pic:cNvPicPr preferRelativeResize="0"/>
                </pic:nvPicPr>
                <pic:blipFill>
                  <a:blip r:embed="rId1"/>
                  <a:srcRect/>
                  <a:stretch>
                    <a:fillRect/>
                  </a:stretch>
                </pic:blipFill>
                <pic:spPr>
                  <a:xfrm>
                    <a:off x="0" y="0"/>
                    <a:ext cx="1184275" cy="608965"/>
                  </a:xfrm>
                  <a:prstGeom prst="rect">
                    <a:avLst/>
                  </a:prstGeom>
                  <a:ln/>
                </pic:spPr>
              </pic:pic>
            </a:graphicData>
          </a:graphic>
        </wp:inline>
      </w:drawing>
    </w:r>
  </w:p>
  <w:p w14:paraId="54FFC4F5" w14:textId="77777777" w:rsidR="00904719" w:rsidRDefault="00000000">
    <w:pPr>
      <w:pBdr>
        <w:top w:val="nil"/>
        <w:left w:val="nil"/>
        <w:bottom w:val="nil"/>
        <w:right w:val="nil"/>
        <w:between w:val="nil"/>
      </w:pBdr>
      <w:spacing w:line="312" w:lineRule="auto"/>
      <w:ind w:left="0" w:hanging="2"/>
      <w:jc w:val="center"/>
      <w:rPr>
        <w:rFonts w:ascii="Book Antiqua" w:eastAsia="Book Antiqua" w:hAnsi="Book Antiqua" w:cs="Book Antiqua"/>
        <w:color w:val="333333"/>
      </w:rPr>
    </w:pPr>
    <w:r>
      <w:rPr>
        <w:rFonts w:ascii="Book Antiqua" w:eastAsia="Book Antiqua" w:hAnsi="Book Antiqua" w:cs="Book Antiqua"/>
        <w:i/>
        <w:color w:val="333333"/>
      </w:rPr>
      <w:t>CONSIGLIO REGIONALE DELLA CAMPANIA</w:t>
    </w:r>
  </w:p>
  <w:p w14:paraId="7333CFDB" w14:textId="77777777" w:rsidR="00904719" w:rsidRDefault="00000000">
    <w:pPr>
      <w:pBdr>
        <w:top w:val="nil"/>
        <w:left w:val="nil"/>
        <w:bottom w:val="nil"/>
        <w:right w:val="nil"/>
        <w:between w:val="nil"/>
      </w:pBdr>
      <w:spacing w:line="312" w:lineRule="auto"/>
      <w:ind w:left="0" w:hanging="2"/>
      <w:jc w:val="center"/>
      <w:rPr>
        <w:rFonts w:ascii="Book Antiqua" w:eastAsia="Book Antiqua" w:hAnsi="Book Antiqua" w:cs="Book Antiqua"/>
        <w:color w:val="333333"/>
      </w:rPr>
    </w:pPr>
    <w:r>
      <w:rPr>
        <w:rFonts w:ascii="Book Antiqua" w:eastAsia="Book Antiqua" w:hAnsi="Book Antiqua" w:cs="Book Antiqua"/>
        <w:i/>
        <w:color w:val="333333"/>
      </w:rPr>
      <w:t>Cons. Maria Muscarà</w:t>
    </w:r>
  </w:p>
  <w:p w14:paraId="25B9F122" w14:textId="77777777" w:rsidR="00904719" w:rsidRDefault="00000000">
    <w:pPr>
      <w:pBdr>
        <w:top w:val="nil"/>
        <w:left w:val="nil"/>
        <w:bottom w:val="nil"/>
        <w:right w:val="nil"/>
        <w:between w:val="nil"/>
      </w:pBdr>
      <w:tabs>
        <w:tab w:val="center" w:pos="4819"/>
        <w:tab w:val="right" w:pos="9638"/>
        <w:tab w:val="left" w:pos="5285"/>
      </w:tabs>
      <w:spacing w:line="240" w:lineRule="auto"/>
      <w:ind w:left="0" w:hanging="2"/>
      <w:rPr>
        <w:color w:val="000000"/>
      </w:rPr>
    </w:pPr>
    <w:r>
      <w:rPr>
        <w:color w:val="000000"/>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E941AC"/>
    <w:multiLevelType w:val="multilevel"/>
    <w:tmpl w:val="63A4F6E6"/>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 w15:restartNumberingAfterBreak="0">
    <w:nsid w:val="2D2B0C0D"/>
    <w:multiLevelType w:val="multilevel"/>
    <w:tmpl w:val="0C742850"/>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 w15:restartNumberingAfterBreak="0">
    <w:nsid w:val="30E210B7"/>
    <w:multiLevelType w:val="multilevel"/>
    <w:tmpl w:val="C7443348"/>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3" w15:restartNumberingAfterBreak="0">
    <w:nsid w:val="7E322A85"/>
    <w:multiLevelType w:val="multilevel"/>
    <w:tmpl w:val="D4265232"/>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num w:numId="1" w16cid:durableId="1805350615">
    <w:abstractNumId w:val="2"/>
  </w:num>
  <w:num w:numId="2" w16cid:durableId="2006085356">
    <w:abstractNumId w:val="3"/>
  </w:num>
  <w:num w:numId="3" w16cid:durableId="1565409186">
    <w:abstractNumId w:val="0"/>
  </w:num>
  <w:num w:numId="4" w16cid:durableId="105928140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4719"/>
    <w:rsid w:val="00537662"/>
    <w:rsid w:val="008853B6"/>
    <w:rsid w:val="0090471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5489BB"/>
  <w15:docId w15:val="{5C370962-1289-4D98-A3C6-70AF07BBFA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pPr>
      <w:suppressAutoHyphens/>
      <w:spacing w:line="1" w:lineRule="atLeast"/>
      <w:ind w:leftChars="-1" w:left="-1" w:hangingChars="1" w:hanging="1"/>
      <w:textDirection w:val="btLr"/>
      <w:textAlignment w:val="top"/>
      <w:outlineLvl w:val="0"/>
    </w:pPr>
    <w:rPr>
      <w:position w:val="-1"/>
      <w:sz w:val="24"/>
      <w:szCs w:val="24"/>
    </w:rPr>
  </w:style>
  <w:style w:type="paragraph" w:styleId="Titolo1">
    <w:name w:val="heading 1"/>
    <w:basedOn w:val="Normale"/>
    <w:next w:val="Normale"/>
    <w:uiPriority w:val="9"/>
    <w:qFormat/>
    <w:pPr>
      <w:keepNext/>
      <w:keepLines/>
      <w:spacing w:before="480" w:after="120"/>
    </w:pPr>
    <w:rPr>
      <w:b/>
      <w:sz w:val="48"/>
      <w:szCs w:val="48"/>
    </w:rPr>
  </w:style>
  <w:style w:type="paragraph" w:styleId="Titolo2">
    <w:name w:val="heading 2"/>
    <w:basedOn w:val="Normale"/>
    <w:next w:val="Normale"/>
    <w:uiPriority w:val="9"/>
    <w:semiHidden/>
    <w:unhideWhenUsed/>
    <w:qFormat/>
    <w:pPr>
      <w:keepNext/>
      <w:keepLines/>
      <w:spacing w:before="360" w:after="80"/>
      <w:outlineLvl w:val="1"/>
    </w:pPr>
    <w:rPr>
      <w:b/>
      <w:sz w:val="36"/>
      <w:szCs w:val="36"/>
    </w:rPr>
  </w:style>
  <w:style w:type="paragraph" w:styleId="Titolo3">
    <w:name w:val="heading 3"/>
    <w:basedOn w:val="Normale"/>
    <w:next w:val="Normale"/>
    <w:uiPriority w:val="9"/>
    <w:semiHidden/>
    <w:unhideWhenUsed/>
    <w:qFormat/>
    <w:pPr>
      <w:keepNext/>
      <w:keepLines/>
      <w:spacing w:before="280" w:after="80"/>
      <w:outlineLvl w:val="2"/>
    </w:pPr>
    <w:rPr>
      <w:b/>
      <w:sz w:val="28"/>
      <w:szCs w:val="28"/>
    </w:rPr>
  </w:style>
  <w:style w:type="paragraph" w:styleId="Titolo4">
    <w:name w:val="heading 4"/>
    <w:basedOn w:val="Normale"/>
    <w:next w:val="Normale"/>
    <w:uiPriority w:val="9"/>
    <w:semiHidden/>
    <w:unhideWhenUsed/>
    <w:qFormat/>
    <w:pPr>
      <w:keepNext/>
      <w:keepLines/>
      <w:spacing w:before="240" w:after="40"/>
      <w:outlineLvl w:val="3"/>
    </w:pPr>
    <w:rPr>
      <w:b/>
    </w:rPr>
  </w:style>
  <w:style w:type="paragraph" w:styleId="Titolo5">
    <w:name w:val="heading 5"/>
    <w:basedOn w:val="Normale"/>
    <w:next w:val="Normale"/>
    <w:uiPriority w:val="9"/>
    <w:semiHidden/>
    <w:unhideWhenUsed/>
    <w:qFormat/>
    <w:pPr>
      <w:keepNext/>
      <w:keepLines/>
      <w:spacing w:before="220" w:after="40"/>
      <w:outlineLvl w:val="4"/>
    </w:pPr>
    <w:rPr>
      <w:b/>
      <w:sz w:val="22"/>
      <w:szCs w:val="22"/>
    </w:rPr>
  </w:style>
  <w:style w:type="paragraph" w:styleId="Titolo6">
    <w:name w:val="heading 6"/>
    <w:basedOn w:val="Normale"/>
    <w:next w:val="Normale"/>
    <w:uiPriority w:val="9"/>
    <w:semiHidden/>
    <w:unhideWhenUsed/>
    <w:qFormat/>
    <w:pPr>
      <w:keepNext/>
      <w:keepLines/>
      <w:spacing w:before="200" w:after="40"/>
      <w:outlineLvl w:val="5"/>
    </w:pPr>
    <w:rPr>
      <w:b/>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olo">
    <w:name w:val="Title"/>
    <w:basedOn w:val="Normale"/>
    <w:next w:val="Normale"/>
    <w:uiPriority w:val="10"/>
    <w:qFormat/>
    <w:pPr>
      <w:keepNext/>
      <w:keepLines/>
      <w:spacing w:before="480" w:after="120"/>
    </w:pPr>
    <w:rPr>
      <w:b/>
      <w:sz w:val="72"/>
      <w:szCs w:val="72"/>
    </w:rPr>
  </w:style>
  <w:style w:type="paragraph" w:styleId="Intestazione">
    <w:name w:val="header"/>
    <w:basedOn w:val="Normale"/>
    <w:pPr>
      <w:tabs>
        <w:tab w:val="center" w:pos="4819"/>
        <w:tab w:val="right" w:pos="9638"/>
      </w:tabs>
    </w:pPr>
  </w:style>
  <w:style w:type="paragraph" w:styleId="Pidipagina">
    <w:name w:val="footer"/>
    <w:basedOn w:val="Normale"/>
    <w:pPr>
      <w:tabs>
        <w:tab w:val="center" w:pos="4819"/>
        <w:tab w:val="right" w:pos="9638"/>
      </w:tabs>
    </w:pPr>
  </w:style>
  <w:style w:type="character" w:styleId="Rimandocommento">
    <w:name w:val="annotation reference"/>
    <w:rPr>
      <w:w w:val="100"/>
      <w:position w:val="-1"/>
      <w:sz w:val="16"/>
      <w:szCs w:val="16"/>
      <w:effect w:val="none"/>
      <w:vertAlign w:val="baseline"/>
      <w:cs w:val="0"/>
      <w:em w:val="none"/>
    </w:rPr>
  </w:style>
  <w:style w:type="paragraph" w:styleId="Testocommento">
    <w:name w:val="annotation text"/>
    <w:basedOn w:val="Normale"/>
    <w:rPr>
      <w:sz w:val="20"/>
      <w:szCs w:val="20"/>
    </w:rPr>
  </w:style>
  <w:style w:type="paragraph" w:styleId="Soggettocommento">
    <w:name w:val="annotation subject"/>
    <w:basedOn w:val="Testocommento"/>
    <w:next w:val="Testocommento"/>
    <w:rPr>
      <w:b/>
      <w:bCs/>
    </w:rPr>
  </w:style>
  <w:style w:type="paragraph" w:styleId="Testofumetto">
    <w:name w:val="Balloon Text"/>
    <w:basedOn w:val="Normale"/>
    <w:rPr>
      <w:rFonts w:ascii="Tahoma" w:hAnsi="Tahoma" w:cs="Tahoma"/>
      <w:sz w:val="16"/>
      <w:szCs w:val="16"/>
    </w:rPr>
  </w:style>
  <w:style w:type="table" w:customStyle="1" w:styleId="TableNormal0">
    <w:name w:val="Table Normal"/>
    <w:next w:val="TableNormal"/>
    <w:pPr>
      <w:suppressAutoHyphens/>
      <w:spacing w:line="1" w:lineRule="atLeast"/>
      <w:ind w:leftChars="-1" w:left="-1" w:hangingChars="1" w:hanging="1"/>
      <w:textDirection w:val="btLr"/>
      <w:textAlignment w:val="top"/>
      <w:outlineLvl w:val="0"/>
    </w:pPr>
    <w:rPr>
      <w:position w:val="-1"/>
    </w:rPr>
    <w:tblPr>
      <w:tblCellMar>
        <w:top w:w="0" w:type="dxa"/>
        <w:left w:w="0" w:type="dxa"/>
        <w:bottom w:w="0" w:type="dxa"/>
        <w:right w:w="0" w:type="dxa"/>
      </w:tblCellMar>
    </w:tblPr>
  </w:style>
  <w:style w:type="paragraph" w:styleId="Sottotitolo">
    <w:name w:val="Subtitle"/>
    <w:basedOn w:val="Normale"/>
    <w:next w:val="Normale"/>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CellMar>
        <w:top w:w="100" w:type="dxa"/>
        <w:left w:w="100" w:type="dxa"/>
        <w:bottom w:w="100" w:type="dxa"/>
        <w:right w:w="100" w:type="dxa"/>
      </w:tblCellMar>
    </w:tblPr>
  </w:style>
  <w:style w:type="table" w:customStyle="1" w:styleId="a0">
    <w:basedOn w:val="TableNormal0"/>
    <w:tblPr>
      <w:tblStyleRowBandSize w:val="1"/>
      <w:tblStyleColBandSize w:val="1"/>
      <w:tblCellMar>
        <w:top w:w="100" w:type="dxa"/>
        <w:left w:w="100" w:type="dxa"/>
        <w:bottom w:w="100" w:type="dxa"/>
        <w:right w:w="100" w:type="dxa"/>
      </w:tblCellMar>
    </w:tblPr>
  </w:style>
  <w:style w:type="table" w:customStyle="1" w:styleId="a1">
    <w:basedOn w:val="TableNormal0"/>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whFqMvbSut/X0bghcjv6IRiu5/g==">CgMxLjA4AHIhMTBrdnZ1ZzRPaWMwSFFvSmZaOUc5UE1CV29BaUhWbjVM</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465</Words>
  <Characters>2657</Characters>
  <Application>Microsoft Office Word</Application>
  <DocSecurity>0</DocSecurity>
  <Lines>22</Lines>
  <Paragraphs>6</Paragraphs>
  <ScaleCrop>false</ScaleCrop>
  <Company/>
  <LinksUpToDate>false</LinksUpToDate>
  <CharactersWithSpaces>3116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Consiglio Regionale</dc:creator>
  <cp:lastModifiedBy>Muscarà Maria</cp:lastModifiedBy>
  <cp:revision>3</cp:revision>
  <dcterms:created xsi:type="dcterms:W3CDTF">2016-06-09T10:33:00Z</dcterms:created>
  <dcterms:modified xsi:type="dcterms:W3CDTF">2023-10-25T14:08:00Z</dcterms:modified>
</cp:coreProperties>
</file>