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D38740" w14:textId="77777777" w:rsidR="00BA0E24" w:rsidRDefault="00000000">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r>
        <w:rPr>
          <w:rFonts w:ascii="Bookman Old Style" w:eastAsia="Bookman Old Style" w:hAnsi="Bookman Old Style" w:cs="Bookman Old Style"/>
          <w:b/>
          <w:color w:val="000000"/>
        </w:rPr>
        <w:t>Relazione tecnico-finanziaria</w:t>
      </w:r>
    </w:p>
    <w:p w14:paraId="4CF86516" w14:textId="77777777" w:rsidR="00BA0E24" w:rsidRDefault="00BA0E24">
      <w:pPr>
        <w:pBdr>
          <w:top w:val="nil"/>
          <w:left w:val="nil"/>
          <w:bottom w:val="nil"/>
          <w:right w:val="nil"/>
          <w:between w:val="nil"/>
        </w:pBdr>
        <w:tabs>
          <w:tab w:val="left" w:pos="540"/>
        </w:tabs>
        <w:spacing w:line="240" w:lineRule="auto"/>
        <w:ind w:left="0" w:hanging="2"/>
        <w:jc w:val="both"/>
        <w:rPr>
          <w:rFonts w:ascii="Bookman Old Style" w:eastAsia="Bookman Old Style" w:hAnsi="Bookman Old Style" w:cs="Bookman Old Style"/>
          <w:color w:val="000000"/>
        </w:rPr>
      </w:pPr>
    </w:p>
    <w:p w14:paraId="704AD7BA" w14:textId="77777777" w:rsidR="00BA0E24" w:rsidRDefault="00000000">
      <w:pPr>
        <w:pBdr>
          <w:top w:val="nil"/>
          <w:left w:val="nil"/>
          <w:bottom w:val="nil"/>
          <w:right w:val="nil"/>
          <w:between w:val="nil"/>
        </w:pBdr>
        <w:tabs>
          <w:tab w:val="left" w:pos="540"/>
        </w:tabs>
        <w:spacing w:line="240" w:lineRule="auto"/>
        <w:ind w:left="0" w:hanging="2"/>
        <w:jc w:val="both"/>
        <w:rPr>
          <w:b/>
        </w:rPr>
      </w:pPr>
      <w:r>
        <w:rPr>
          <w:rFonts w:ascii="Bookman Old Style" w:eastAsia="Bookman Old Style" w:hAnsi="Bookman Old Style" w:cs="Bookman Old Style"/>
          <w:b/>
          <w:color w:val="000000"/>
        </w:rPr>
        <w:tab/>
      </w:r>
    </w:p>
    <w:p w14:paraId="0242F981" w14:textId="77777777" w:rsidR="00BA0E24" w:rsidRDefault="00000000">
      <w:pPr>
        <w:spacing w:line="276" w:lineRule="auto"/>
        <w:ind w:left="0" w:hanging="2"/>
        <w:jc w:val="center"/>
        <w:rPr>
          <w:rFonts w:ascii="Bookman Old Style" w:eastAsia="Bookman Old Style" w:hAnsi="Bookman Old Style" w:cs="Bookman Old Style"/>
        </w:rPr>
      </w:pPr>
      <w:r>
        <w:rPr>
          <w:rFonts w:ascii="Bookman Old Style" w:eastAsia="Bookman Old Style" w:hAnsi="Bookman Old Style" w:cs="Bookman Old Style"/>
          <w:b/>
        </w:rPr>
        <w:t>SEZIONE 1 - CARATTERISTICHE DELLA SPESA</w:t>
      </w:r>
    </w:p>
    <w:tbl>
      <w:tblPr>
        <w:tblStyle w:val="a"/>
        <w:tblW w:w="96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214"/>
        <w:gridCol w:w="3213"/>
        <w:gridCol w:w="3213"/>
      </w:tblGrid>
      <w:tr w:rsidR="00BA0E24" w14:paraId="51057FC6" w14:textId="77777777">
        <w:tc>
          <w:tcPr>
            <w:tcW w:w="3213" w:type="dxa"/>
            <w:shd w:val="clear" w:color="auto" w:fill="93C47D"/>
            <w:tcMar>
              <w:top w:w="100" w:type="dxa"/>
              <w:left w:w="100" w:type="dxa"/>
              <w:bottom w:w="100" w:type="dxa"/>
              <w:right w:w="100" w:type="dxa"/>
            </w:tcMar>
          </w:tcPr>
          <w:p w14:paraId="5E6A71F3" w14:textId="77777777" w:rsidR="00BA0E24" w:rsidRDefault="00000000">
            <w:pPr>
              <w:widowControl w:val="0"/>
              <w:ind w:left="0" w:hanging="2"/>
              <w:rPr>
                <w:rFonts w:ascii="Bookman Old Style" w:eastAsia="Bookman Old Style" w:hAnsi="Bookman Old Style" w:cs="Bookman Old Style"/>
                <w:b/>
              </w:rPr>
            </w:pPr>
            <w:r>
              <w:rPr>
                <w:rFonts w:ascii="Bookman Old Style" w:eastAsia="Bookman Old Style" w:hAnsi="Bookman Old Style" w:cs="Bookman Old Style"/>
                <w:b/>
              </w:rPr>
              <w:t>MORFOLOGIA DELLA SPESA</w:t>
            </w:r>
          </w:p>
        </w:tc>
        <w:tc>
          <w:tcPr>
            <w:tcW w:w="3213" w:type="dxa"/>
            <w:shd w:val="clear" w:color="auto" w:fill="auto"/>
            <w:tcMar>
              <w:top w:w="100" w:type="dxa"/>
              <w:left w:w="100" w:type="dxa"/>
              <w:bottom w:w="100" w:type="dxa"/>
              <w:right w:w="100" w:type="dxa"/>
            </w:tcMar>
          </w:tcPr>
          <w:p w14:paraId="34A257F0" w14:textId="77777777" w:rsidR="00BA0E24" w:rsidRDefault="00000000">
            <w:pPr>
              <w:widowControl w:val="0"/>
              <w:ind w:left="0" w:hanging="2"/>
              <w:jc w:val="center"/>
              <w:rPr>
                <w:rFonts w:ascii="Bookman Old Style" w:eastAsia="Bookman Old Style" w:hAnsi="Bookman Old Style" w:cs="Bookman Old Style"/>
                <w:strike/>
              </w:rPr>
            </w:pPr>
            <w:r>
              <w:rPr>
                <w:rFonts w:ascii="Bookman Old Style" w:eastAsia="Bookman Old Style" w:hAnsi="Bookman Old Style" w:cs="Bookman Old Style"/>
                <w:strike/>
              </w:rPr>
              <w:t>ONERE INDEROGABILE</w:t>
            </w:r>
          </w:p>
        </w:tc>
        <w:tc>
          <w:tcPr>
            <w:tcW w:w="3213" w:type="dxa"/>
            <w:shd w:val="clear" w:color="auto" w:fill="auto"/>
            <w:tcMar>
              <w:top w:w="100" w:type="dxa"/>
              <w:left w:w="100" w:type="dxa"/>
              <w:bottom w:w="100" w:type="dxa"/>
              <w:right w:w="100" w:type="dxa"/>
            </w:tcMar>
          </w:tcPr>
          <w:p w14:paraId="531468CE"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FATTORE LEGISLATIVO</w:t>
            </w:r>
          </w:p>
        </w:tc>
      </w:tr>
      <w:tr w:rsidR="00BA0E24" w14:paraId="512DDE82" w14:textId="77777777">
        <w:tc>
          <w:tcPr>
            <w:tcW w:w="3213" w:type="dxa"/>
            <w:shd w:val="clear" w:color="auto" w:fill="93C47D"/>
            <w:tcMar>
              <w:top w:w="100" w:type="dxa"/>
              <w:left w:w="100" w:type="dxa"/>
              <w:bottom w:w="100" w:type="dxa"/>
              <w:right w:w="100" w:type="dxa"/>
            </w:tcMar>
          </w:tcPr>
          <w:p w14:paraId="5B03C012" w14:textId="77777777" w:rsidR="00BA0E24" w:rsidRDefault="00000000">
            <w:pPr>
              <w:widowControl w:val="0"/>
              <w:ind w:left="0" w:hanging="2"/>
              <w:rPr>
                <w:rFonts w:ascii="Bookman Old Style" w:eastAsia="Bookman Old Style" w:hAnsi="Bookman Old Style" w:cs="Bookman Old Style"/>
                <w:b/>
              </w:rPr>
            </w:pPr>
            <w:r>
              <w:rPr>
                <w:rFonts w:ascii="Bookman Old Style" w:eastAsia="Bookman Old Style" w:hAnsi="Bookman Old Style" w:cs="Bookman Old Style"/>
                <w:b/>
              </w:rPr>
              <w:t>TIPOLOGIA DELLA SPESA</w:t>
            </w:r>
          </w:p>
        </w:tc>
        <w:tc>
          <w:tcPr>
            <w:tcW w:w="3213" w:type="dxa"/>
            <w:shd w:val="clear" w:color="auto" w:fill="auto"/>
            <w:tcMar>
              <w:top w:w="100" w:type="dxa"/>
              <w:left w:w="100" w:type="dxa"/>
              <w:bottom w:w="100" w:type="dxa"/>
              <w:right w:w="100" w:type="dxa"/>
            </w:tcMar>
          </w:tcPr>
          <w:p w14:paraId="39EC5705" w14:textId="77777777" w:rsidR="00BA0E24" w:rsidRDefault="00000000">
            <w:pPr>
              <w:widowControl w:val="0"/>
              <w:ind w:left="0" w:hanging="2"/>
              <w:jc w:val="center"/>
              <w:rPr>
                <w:rFonts w:ascii="Bookman Old Style" w:eastAsia="Bookman Old Style" w:hAnsi="Bookman Old Style" w:cs="Bookman Old Style"/>
                <w:strike/>
              </w:rPr>
            </w:pPr>
            <w:r>
              <w:rPr>
                <w:rFonts w:ascii="Bookman Old Style" w:eastAsia="Bookman Old Style" w:hAnsi="Bookman Old Style" w:cs="Bookman Old Style"/>
                <w:strike/>
              </w:rPr>
              <w:t>CORRENTE</w:t>
            </w:r>
          </w:p>
        </w:tc>
        <w:tc>
          <w:tcPr>
            <w:tcW w:w="3213" w:type="dxa"/>
            <w:shd w:val="clear" w:color="auto" w:fill="auto"/>
            <w:tcMar>
              <w:top w:w="100" w:type="dxa"/>
              <w:left w:w="100" w:type="dxa"/>
              <w:bottom w:w="100" w:type="dxa"/>
              <w:right w:w="100" w:type="dxa"/>
            </w:tcMar>
          </w:tcPr>
          <w:p w14:paraId="3AD3248C"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CONTO CAPITALE</w:t>
            </w:r>
          </w:p>
        </w:tc>
      </w:tr>
      <w:tr w:rsidR="00BA0E24" w14:paraId="11DCE3A7" w14:textId="77777777">
        <w:tc>
          <w:tcPr>
            <w:tcW w:w="3213" w:type="dxa"/>
            <w:shd w:val="clear" w:color="auto" w:fill="93C47D"/>
            <w:tcMar>
              <w:top w:w="100" w:type="dxa"/>
              <w:left w:w="100" w:type="dxa"/>
              <w:bottom w:w="100" w:type="dxa"/>
              <w:right w:w="100" w:type="dxa"/>
            </w:tcMar>
          </w:tcPr>
          <w:p w14:paraId="67BDFE49" w14:textId="77777777" w:rsidR="00BA0E24" w:rsidRDefault="00000000">
            <w:pPr>
              <w:widowControl w:val="0"/>
              <w:ind w:left="0" w:hanging="2"/>
              <w:rPr>
                <w:rFonts w:ascii="Bookman Old Style" w:eastAsia="Bookman Old Style" w:hAnsi="Bookman Old Style" w:cs="Bookman Old Style"/>
                <w:b/>
              </w:rPr>
            </w:pPr>
            <w:r>
              <w:rPr>
                <w:rFonts w:ascii="Bookman Old Style" w:eastAsia="Bookman Old Style" w:hAnsi="Bookman Old Style" w:cs="Bookman Old Style"/>
                <w:b/>
              </w:rPr>
              <w:t>NATURA DELLA SPESA</w:t>
            </w:r>
          </w:p>
        </w:tc>
        <w:tc>
          <w:tcPr>
            <w:tcW w:w="3213" w:type="dxa"/>
            <w:shd w:val="clear" w:color="auto" w:fill="auto"/>
            <w:tcMar>
              <w:top w:w="100" w:type="dxa"/>
              <w:left w:w="100" w:type="dxa"/>
              <w:bottom w:w="100" w:type="dxa"/>
              <w:right w:w="100" w:type="dxa"/>
            </w:tcMar>
          </w:tcPr>
          <w:p w14:paraId="7ED12748"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ANNUALE</w:t>
            </w:r>
          </w:p>
        </w:tc>
        <w:tc>
          <w:tcPr>
            <w:tcW w:w="3213" w:type="dxa"/>
            <w:shd w:val="clear" w:color="auto" w:fill="auto"/>
            <w:tcMar>
              <w:top w:w="100" w:type="dxa"/>
              <w:left w:w="100" w:type="dxa"/>
              <w:bottom w:w="100" w:type="dxa"/>
              <w:right w:w="100" w:type="dxa"/>
            </w:tcMar>
          </w:tcPr>
          <w:p w14:paraId="38DD0385" w14:textId="77777777" w:rsidR="00BA0E24" w:rsidRDefault="00000000">
            <w:pPr>
              <w:widowControl w:val="0"/>
              <w:ind w:left="0" w:hanging="2"/>
              <w:jc w:val="center"/>
              <w:rPr>
                <w:rFonts w:ascii="Bookman Old Style" w:eastAsia="Bookman Old Style" w:hAnsi="Bookman Old Style" w:cs="Bookman Old Style"/>
                <w:strike/>
              </w:rPr>
            </w:pPr>
            <w:r>
              <w:rPr>
                <w:rFonts w:ascii="Bookman Old Style" w:eastAsia="Bookman Old Style" w:hAnsi="Bookman Old Style" w:cs="Bookman Old Style"/>
                <w:strike/>
              </w:rPr>
              <w:t>PLURIENNALE</w:t>
            </w:r>
          </w:p>
        </w:tc>
      </w:tr>
    </w:tbl>
    <w:p w14:paraId="62164B71" w14:textId="77777777" w:rsidR="00BA0E24" w:rsidRDefault="00BA0E24">
      <w:pPr>
        <w:spacing w:before="200" w:line="276" w:lineRule="auto"/>
        <w:ind w:left="0" w:hanging="2"/>
        <w:rPr>
          <w:rFonts w:ascii="Bookman Old Style" w:eastAsia="Bookman Old Style" w:hAnsi="Bookman Old Style" w:cs="Bookman Old Style"/>
        </w:rPr>
      </w:pPr>
    </w:p>
    <w:p w14:paraId="0C591CB9" w14:textId="77777777" w:rsidR="00BA0E24" w:rsidRDefault="00000000">
      <w:pPr>
        <w:spacing w:before="200" w:line="276" w:lineRule="auto"/>
        <w:ind w:left="0" w:hanging="2"/>
        <w:jc w:val="center"/>
        <w:rPr>
          <w:rFonts w:ascii="Bookman Old Style" w:eastAsia="Bookman Old Style" w:hAnsi="Bookman Old Style" w:cs="Bookman Old Style"/>
        </w:rPr>
      </w:pPr>
      <w:r>
        <w:rPr>
          <w:rFonts w:ascii="Bookman Old Style" w:eastAsia="Bookman Old Style" w:hAnsi="Bookman Old Style" w:cs="Bookman Old Style"/>
          <w:b/>
        </w:rPr>
        <w:t>SEZIONE 2 - INDICAZIONI SULLA PRESENZA DI ONERI FINANZIARI PRESUNTI E RELATIVA QUANTIFICAZIONE</w:t>
      </w:r>
    </w:p>
    <w:tbl>
      <w:tblPr>
        <w:tblStyle w:val="a0"/>
        <w:tblW w:w="973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0"/>
        <w:gridCol w:w="1860"/>
        <w:gridCol w:w="1980"/>
        <w:gridCol w:w="2550"/>
        <w:gridCol w:w="2475"/>
      </w:tblGrid>
      <w:tr w:rsidR="00BA0E24" w14:paraId="4FB2F7BB" w14:textId="77777777">
        <w:trPr>
          <w:trHeight w:val="1880"/>
        </w:trPr>
        <w:tc>
          <w:tcPr>
            <w:tcW w:w="870" w:type="dxa"/>
            <w:shd w:val="clear" w:color="auto" w:fill="93C47D"/>
            <w:tcMar>
              <w:top w:w="100" w:type="dxa"/>
              <w:left w:w="100" w:type="dxa"/>
              <w:bottom w:w="100" w:type="dxa"/>
              <w:right w:w="100" w:type="dxa"/>
            </w:tcMar>
          </w:tcPr>
          <w:p w14:paraId="51AFA38C"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ART.</w:t>
            </w:r>
          </w:p>
        </w:tc>
        <w:tc>
          <w:tcPr>
            <w:tcW w:w="1860" w:type="dxa"/>
            <w:shd w:val="clear" w:color="auto" w:fill="93C47D"/>
            <w:tcMar>
              <w:top w:w="100" w:type="dxa"/>
              <w:left w:w="100" w:type="dxa"/>
              <w:bottom w:w="100" w:type="dxa"/>
              <w:right w:w="100" w:type="dxa"/>
            </w:tcMar>
          </w:tcPr>
          <w:p w14:paraId="5A22107E"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PRESENZA ONERI</w:t>
            </w:r>
          </w:p>
        </w:tc>
        <w:tc>
          <w:tcPr>
            <w:tcW w:w="1980" w:type="dxa"/>
            <w:shd w:val="clear" w:color="auto" w:fill="93C47D"/>
            <w:tcMar>
              <w:top w:w="100" w:type="dxa"/>
              <w:left w:w="100" w:type="dxa"/>
              <w:bottom w:w="100" w:type="dxa"/>
              <w:right w:w="100" w:type="dxa"/>
            </w:tcMar>
          </w:tcPr>
          <w:p w14:paraId="67DF9B6C"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STIMA ONERI</w:t>
            </w:r>
          </w:p>
        </w:tc>
        <w:tc>
          <w:tcPr>
            <w:tcW w:w="2550" w:type="dxa"/>
            <w:shd w:val="clear" w:color="auto" w:fill="93C47D"/>
            <w:tcMar>
              <w:top w:w="100" w:type="dxa"/>
              <w:left w:w="100" w:type="dxa"/>
              <w:bottom w:w="100" w:type="dxa"/>
              <w:right w:w="100" w:type="dxa"/>
            </w:tcMar>
          </w:tcPr>
          <w:p w14:paraId="085A5C6C"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DATI-CRITERI-</w:t>
            </w:r>
          </w:p>
          <w:p w14:paraId="0D985B14"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METODI UTILIZZATI PER LA QUANTIFICAZIONE DEGLI ONERI</w:t>
            </w:r>
          </w:p>
        </w:tc>
        <w:tc>
          <w:tcPr>
            <w:tcW w:w="2475" w:type="dxa"/>
            <w:shd w:val="clear" w:color="auto" w:fill="93C47D"/>
            <w:tcMar>
              <w:top w:w="100" w:type="dxa"/>
              <w:left w:w="100" w:type="dxa"/>
              <w:bottom w:w="100" w:type="dxa"/>
              <w:right w:w="100" w:type="dxa"/>
            </w:tcMar>
          </w:tcPr>
          <w:p w14:paraId="28EAB874"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ELEMENTI IDONEI A COMPROVARE LA NEUTRALITÀ FINANZIARIA DEL PROVVEDIMENTO</w:t>
            </w:r>
          </w:p>
        </w:tc>
      </w:tr>
      <w:tr w:rsidR="00BA0E24" w14:paraId="1863F188" w14:textId="77777777">
        <w:tc>
          <w:tcPr>
            <w:tcW w:w="870" w:type="dxa"/>
            <w:shd w:val="clear" w:color="auto" w:fill="auto"/>
            <w:tcMar>
              <w:top w:w="100" w:type="dxa"/>
              <w:left w:w="100" w:type="dxa"/>
              <w:bottom w:w="100" w:type="dxa"/>
              <w:right w:w="100" w:type="dxa"/>
            </w:tcMar>
          </w:tcPr>
          <w:p w14:paraId="1FD6A69D"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1</w:t>
            </w:r>
          </w:p>
        </w:tc>
        <w:tc>
          <w:tcPr>
            <w:tcW w:w="1860" w:type="dxa"/>
            <w:shd w:val="clear" w:color="auto" w:fill="auto"/>
            <w:tcMar>
              <w:top w:w="100" w:type="dxa"/>
              <w:left w:w="100" w:type="dxa"/>
              <w:bottom w:w="100" w:type="dxa"/>
              <w:right w:w="100" w:type="dxa"/>
            </w:tcMar>
          </w:tcPr>
          <w:p w14:paraId="08C29B2C"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NO</w:t>
            </w:r>
          </w:p>
        </w:tc>
        <w:tc>
          <w:tcPr>
            <w:tcW w:w="1980" w:type="dxa"/>
            <w:shd w:val="clear" w:color="auto" w:fill="auto"/>
            <w:tcMar>
              <w:top w:w="100" w:type="dxa"/>
              <w:left w:w="100" w:type="dxa"/>
              <w:bottom w:w="100" w:type="dxa"/>
              <w:right w:w="100" w:type="dxa"/>
            </w:tcMar>
          </w:tcPr>
          <w:p w14:paraId="2CC79B10"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550" w:type="dxa"/>
            <w:shd w:val="clear" w:color="auto" w:fill="auto"/>
            <w:tcMar>
              <w:top w:w="100" w:type="dxa"/>
              <w:left w:w="100" w:type="dxa"/>
              <w:bottom w:w="100" w:type="dxa"/>
              <w:right w:w="100" w:type="dxa"/>
            </w:tcMar>
          </w:tcPr>
          <w:p w14:paraId="00947182"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475" w:type="dxa"/>
            <w:shd w:val="clear" w:color="auto" w:fill="auto"/>
            <w:tcMar>
              <w:top w:w="100" w:type="dxa"/>
              <w:left w:w="100" w:type="dxa"/>
              <w:bottom w:w="100" w:type="dxa"/>
              <w:right w:w="100" w:type="dxa"/>
            </w:tcMar>
          </w:tcPr>
          <w:p w14:paraId="59D340A5"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L’articolo reca l’oggetto della proposta di legge.</w:t>
            </w:r>
          </w:p>
        </w:tc>
      </w:tr>
      <w:tr w:rsidR="00BA0E24" w14:paraId="34D930C8" w14:textId="77777777">
        <w:tc>
          <w:tcPr>
            <w:tcW w:w="870" w:type="dxa"/>
            <w:shd w:val="clear" w:color="auto" w:fill="auto"/>
            <w:tcMar>
              <w:top w:w="100" w:type="dxa"/>
              <w:left w:w="100" w:type="dxa"/>
              <w:bottom w:w="100" w:type="dxa"/>
              <w:right w:w="100" w:type="dxa"/>
            </w:tcMar>
          </w:tcPr>
          <w:p w14:paraId="4D35A973"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2</w:t>
            </w:r>
          </w:p>
        </w:tc>
        <w:tc>
          <w:tcPr>
            <w:tcW w:w="1860" w:type="dxa"/>
            <w:shd w:val="clear" w:color="auto" w:fill="auto"/>
            <w:tcMar>
              <w:top w:w="100" w:type="dxa"/>
              <w:left w:w="100" w:type="dxa"/>
              <w:bottom w:w="100" w:type="dxa"/>
              <w:right w:w="100" w:type="dxa"/>
            </w:tcMar>
          </w:tcPr>
          <w:p w14:paraId="1EB27FB7"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NO</w:t>
            </w:r>
          </w:p>
        </w:tc>
        <w:tc>
          <w:tcPr>
            <w:tcW w:w="1980" w:type="dxa"/>
            <w:shd w:val="clear" w:color="auto" w:fill="auto"/>
            <w:tcMar>
              <w:top w:w="100" w:type="dxa"/>
              <w:left w:w="100" w:type="dxa"/>
              <w:bottom w:w="100" w:type="dxa"/>
              <w:right w:w="100" w:type="dxa"/>
            </w:tcMar>
          </w:tcPr>
          <w:p w14:paraId="40DA4847"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550" w:type="dxa"/>
            <w:shd w:val="clear" w:color="auto" w:fill="auto"/>
            <w:tcMar>
              <w:top w:w="100" w:type="dxa"/>
              <w:left w:w="100" w:type="dxa"/>
              <w:bottom w:w="100" w:type="dxa"/>
              <w:right w:w="100" w:type="dxa"/>
            </w:tcMar>
          </w:tcPr>
          <w:p w14:paraId="1113997F"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475" w:type="dxa"/>
            <w:shd w:val="clear" w:color="auto" w:fill="auto"/>
            <w:tcMar>
              <w:top w:w="100" w:type="dxa"/>
              <w:left w:w="100" w:type="dxa"/>
              <w:bottom w:w="100" w:type="dxa"/>
              <w:right w:w="100" w:type="dxa"/>
            </w:tcMar>
          </w:tcPr>
          <w:p w14:paraId="37F45E7A"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L’articolo reca disposizioni di carattere ordinamentale.</w:t>
            </w:r>
          </w:p>
        </w:tc>
      </w:tr>
      <w:tr w:rsidR="00BA0E24" w14:paraId="58C26F50" w14:textId="77777777">
        <w:tc>
          <w:tcPr>
            <w:tcW w:w="870" w:type="dxa"/>
            <w:shd w:val="clear" w:color="auto" w:fill="auto"/>
            <w:tcMar>
              <w:top w:w="100" w:type="dxa"/>
              <w:left w:w="100" w:type="dxa"/>
              <w:bottom w:w="100" w:type="dxa"/>
              <w:right w:w="100" w:type="dxa"/>
            </w:tcMar>
          </w:tcPr>
          <w:p w14:paraId="0B3146EB"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3</w:t>
            </w:r>
          </w:p>
        </w:tc>
        <w:tc>
          <w:tcPr>
            <w:tcW w:w="1860" w:type="dxa"/>
            <w:shd w:val="clear" w:color="auto" w:fill="auto"/>
            <w:tcMar>
              <w:top w:w="100" w:type="dxa"/>
              <w:left w:w="100" w:type="dxa"/>
              <w:bottom w:w="100" w:type="dxa"/>
              <w:right w:w="100" w:type="dxa"/>
            </w:tcMar>
          </w:tcPr>
          <w:p w14:paraId="7C7A6C2D"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SI</w:t>
            </w:r>
          </w:p>
        </w:tc>
        <w:tc>
          <w:tcPr>
            <w:tcW w:w="1980" w:type="dxa"/>
            <w:shd w:val="clear" w:color="auto" w:fill="auto"/>
            <w:tcMar>
              <w:top w:w="100" w:type="dxa"/>
              <w:left w:w="100" w:type="dxa"/>
              <w:bottom w:w="100" w:type="dxa"/>
              <w:right w:w="100" w:type="dxa"/>
            </w:tcMar>
          </w:tcPr>
          <w:p w14:paraId="7F94ED22"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70.000,00 euro per l’annualità 2023</w:t>
            </w:r>
          </w:p>
        </w:tc>
        <w:tc>
          <w:tcPr>
            <w:tcW w:w="2550" w:type="dxa"/>
            <w:shd w:val="clear" w:color="auto" w:fill="auto"/>
            <w:tcMar>
              <w:top w:w="100" w:type="dxa"/>
              <w:left w:w="100" w:type="dxa"/>
              <w:bottom w:w="100" w:type="dxa"/>
              <w:right w:w="100" w:type="dxa"/>
            </w:tcMar>
          </w:tcPr>
          <w:p w14:paraId="0F5A3C0C"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All’attuazione della disposizione si provvede nell’ambito delle risorse stanziate al successivo articolo 7.</w:t>
            </w:r>
          </w:p>
          <w:p w14:paraId="13BE543B" w14:textId="77777777" w:rsidR="00BA0E24" w:rsidRDefault="00BA0E24">
            <w:pPr>
              <w:widowControl w:val="0"/>
              <w:ind w:left="0" w:hanging="2"/>
              <w:rPr>
                <w:rFonts w:ascii="Bookman Old Style" w:eastAsia="Bookman Old Style" w:hAnsi="Bookman Old Style" w:cs="Bookman Old Style"/>
              </w:rPr>
            </w:pPr>
          </w:p>
          <w:p w14:paraId="07B213EF"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 xml:space="preserve">L’articolo prevede, in modo particolare, che i Comuni interessati dal provvedimento procedano all’adeguamento dei propri strumenti </w:t>
            </w:r>
            <w:r>
              <w:rPr>
                <w:rFonts w:ascii="Bookman Old Style" w:eastAsia="Bookman Old Style" w:hAnsi="Bookman Old Style" w:cs="Bookman Old Style"/>
              </w:rPr>
              <w:lastRenderedPageBreak/>
              <w:t>urbanistici, siano essi in fase di elaborazione o già vigenti al momento dell’entrata in vigore della legge.</w:t>
            </w:r>
          </w:p>
          <w:p w14:paraId="55B369A7" w14:textId="77777777" w:rsidR="00BA0E24" w:rsidRDefault="00BA0E24">
            <w:pPr>
              <w:widowControl w:val="0"/>
              <w:ind w:left="0" w:hanging="2"/>
              <w:rPr>
                <w:rFonts w:ascii="Bookman Old Style" w:eastAsia="Bookman Old Style" w:hAnsi="Bookman Old Style" w:cs="Bookman Old Style"/>
              </w:rPr>
            </w:pPr>
          </w:p>
          <w:p w14:paraId="5EE8FD7D"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La stima degli oneri è stata effettuata parametrandola a quanto attualmente previsto dalla normativa regionale, in modo particolare dall’articolo 40 della legge reg. 16/2004 (Norme sul governo del territorio). Tale disposizione prevede infatti la concessione di contributi ai Comuni per la redazione dei PUC (con risorse iscritte al Capitolo U00804 del Bilancio</w:t>
            </w:r>
          </w:p>
          <w:p w14:paraId="2B518BBD"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Gestionale per il triennio 2023-2025). Nel corso delle ultime annualità, il bando predisposto dalla Direzione generale competente ha infatti previsto un contributo massimo di 10.000,00 euro concedibile al singolo Comune richiedente.</w:t>
            </w:r>
          </w:p>
          <w:p w14:paraId="726A97A4" w14:textId="77777777" w:rsidR="00BA0E24" w:rsidRDefault="00BA0E24">
            <w:pPr>
              <w:widowControl w:val="0"/>
              <w:ind w:left="0" w:hanging="2"/>
              <w:rPr>
                <w:rFonts w:ascii="Bookman Old Style" w:eastAsia="Bookman Old Style" w:hAnsi="Bookman Old Style" w:cs="Bookman Old Style"/>
              </w:rPr>
            </w:pPr>
          </w:p>
          <w:p w14:paraId="7E486171"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 xml:space="preserve">Considerato che la “zona rossa” dei Campi flegrei include, in tutto in parte, 7 Comuni </w:t>
            </w:r>
            <w:r>
              <w:rPr>
                <w:rFonts w:ascii="Bookman Old Style" w:eastAsia="Bookman Old Style" w:hAnsi="Bookman Old Style" w:cs="Bookman Old Style"/>
              </w:rPr>
              <w:lastRenderedPageBreak/>
              <w:t xml:space="preserve">(Pozzuoli, Bacoli, Monte di Procida, Quarto e parzialmente i comuni di Giugliano in Campania, Marano e Napoli), si è ritenuto congruo prevedere uno stanziamento complessivo di 70.000,00 euro per la sola annualità 2023, in quanto le attività di adeguamento da parte dei Comuni andranno necessariamente effettuate entro un anno dalla data di entrata in vigore della legge, pena l’esercizio dei poteri sostitutivi, tramite commissari </w:t>
            </w:r>
            <w:r>
              <w:rPr>
                <w:rFonts w:ascii="Bookman Old Style" w:eastAsia="Bookman Old Style" w:hAnsi="Bookman Old Style" w:cs="Bookman Old Style"/>
                <w:i/>
              </w:rPr>
              <w:t>ad acta</w:t>
            </w:r>
            <w:r>
              <w:rPr>
                <w:rFonts w:ascii="Bookman Old Style" w:eastAsia="Bookman Old Style" w:hAnsi="Bookman Old Style" w:cs="Bookman Old Style"/>
              </w:rPr>
              <w:t xml:space="preserve"> appositamente nominati, da parte della Città metropolitana. </w:t>
            </w:r>
          </w:p>
        </w:tc>
        <w:tc>
          <w:tcPr>
            <w:tcW w:w="2475" w:type="dxa"/>
            <w:shd w:val="clear" w:color="auto" w:fill="auto"/>
            <w:tcMar>
              <w:top w:w="100" w:type="dxa"/>
              <w:left w:w="100" w:type="dxa"/>
              <w:bottom w:w="100" w:type="dxa"/>
              <w:right w:w="100" w:type="dxa"/>
            </w:tcMar>
          </w:tcPr>
          <w:p w14:paraId="39CF176C"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lastRenderedPageBreak/>
              <w:t>//</w:t>
            </w:r>
          </w:p>
        </w:tc>
      </w:tr>
      <w:tr w:rsidR="00BA0E24" w14:paraId="0825D546" w14:textId="77777777">
        <w:tc>
          <w:tcPr>
            <w:tcW w:w="870" w:type="dxa"/>
            <w:shd w:val="clear" w:color="auto" w:fill="auto"/>
            <w:tcMar>
              <w:top w:w="100" w:type="dxa"/>
              <w:left w:w="100" w:type="dxa"/>
              <w:bottom w:w="100" w:type="dxa"/>
              <w:right w:w="100" w:type="dxa"/>
            </w:tcMar>
          </w:tcPr>
          <w:p w14:paraId="36352B2D"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lastRenderedPageBreak/>
              <w:t>4</w:t>
            </w:r>
          </w:p>
        </w:tc>
        <w:tc>
          <w:tcPr>
            <w:tcW w:w="1860" w:type="dxa"/>
            <w:shd w:val="clear" w:color="auto" w:fill="auto"/>
            <w:tcMar>
              <w:top w:w="100" w:type="dxa"/>
              <w:left w:w="100" w:type="dxa"/>
              <w:bottom w:w="100" w:type="dxa"/>
              <w:right w:w="100" w:type="dxa"/>
            </w:tcMar>
          </w:tcPr>
          <w:p w14:paraId="30C63264"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NO</w:t>
            </w:r>
          </w:p>
        </w:tc>
        <w:tc>
          <w:tcPr>
            <w:tcW w:w="1980" w:type="dxa"/>
            <w:shd w:val="clear" w:color="auto" w:fill="auto"/>
            <w:tcMar>
              <w:top w:w="100" w:type="dxa"/>
              <w:left w:w="100" w:type="dxa"/>
              <w:bottom w:w="100" w:type="dxa"/>
              <w:right w:w="100" w:type="dxa"/>
            </w:tcMar>
          </w:tcPr>
          <w:p w14:paraId="3E880663"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550" w:type="dxa"/>
            <w:shd w:val="clear" w:color="auto" w:fill="auto"/>
            <w:tcMar>
              <w:top w:w="100" w:type="dxa"/>
              <w:left w:w="100" w:type="dxa"/>
              <w:bottom w:w="100" w:type="dxa"/>
              <w:right w:w="100" w:type="dxa"/>
            </w:tcMar>
          </w:tcPr>
          <w:p w14:paraId="0369D890"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475" w:type="dxa"/>
            <w:shd w:val="clear" w:color="auto" w:fill="auto"/>
            <w:tcMar>
              <w:top w:w="100" w:type="dxa"/>
              <w:left w:w="100" w:type="dxa"/>
              <w:bottom w:w="100" w:type="dxa"/>
              <w:right w:w="100" w:type="dxa"/>
            </w:tcMar>
          </w:tcPr>
          <w:p w14:paraId="0EA5C290"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L’articolo reca disposizioni di carattere ordinamentale.</w:t>
            </w:r>
          </w:p>
        </w:tc>
      </w:tr>
      <w:tr w:rsidR="00BA0E24" w14:paraId="4BFC3D21" w14:textId="77777777">
        <w:tc>
          <w:tcPr>
            <w:tcW w:w="870" w:type="dxa"/>
            <w:shd w:val="clear" w:color="auto" w:fill="auto"/>
            <w:tcMar>
              <w:top w:w="100" w:type="dxa"/>
              <w:left w:w="100" w:type="dxa"/>
              <w:bottom w:w="100" w:type="dxa"/>
              <w:right w:w="100" w:type="dxa"/>
            </w:tcMar>
          </w:tcPr>
          <w:p w14:paraId="2E73926E"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5</w:t>
            </w:r>
          </w:p>
        </w:tc>
        <w:tc>
          <w:tcPr>
            <w:tcW w:w="1860" w:type="dxa"/>
            <w:shd w:val="clear" w:color="auto" w:fill="auto"/>
            <w:tcMar>
              <w:top w:w="100" w:type="dxa"/>
              <w:left w:w="100" w:type="dxa"/>
              <w:bottom w:w="100" w:type="dxa"/>
              <w:right w:w="100" w:type="dxa"/>
            </w:tcMar>
          </w:tcPr>
          <w:p w14:paraId="22C5620D"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NO</w:t>
            </w:r>
          </w:p>
        </w:tc>
        <w:tc>
          <w:tcPr>
            <w:tcW w:w="1980" w:type="dxa"/>
            <w:shd w:val="clear" w:color="auto" w:fill="auto"/>
            <w:tcMar>
              <w:top w:w="100" w:type="dxa"/>
              <w:left w:w="100" w:type="dxa"/>
              <w:bottom w:w="100" w:type="dxa"/>
              <w:right w:w="100" w:type="dxa"/>
            </w:tcMar>
          </w:tcPr>
          <w:p w14:paraId="094F4945"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550" w:type="dxa"/>
            <w:shd w:val="clear" w:color="auto" w:fill="auto"/>
            <w:tcMar>
              <w:top w:w="100" w:type="dxa"/>
              <w:left w:w="100" w:type="dxa"/>
              <w:bottom w:w="100" w:type="dxa"/>
              <w:right w:w="100" w:type="dxa"/>
            </w:tcMar>
          </w:tcPr>
          <w:p w14:paraId="41BA868D"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475" w:type="dxa"/>
            <w:shd w:val="clear" w:color="auto" w:fill="auto"/>
            <w:tcMar>
              <w:top w:w="100" w:type="dxa"/>
              <w:left w:w="100" w:type="dxa"/>
              <w:bottom w:w="100" w:type="dxa"/>
              <w:right w:w="100" w:type="dxa"/>
            </w:tcMar>
          </w:tcPr>
          <w:p w14:paraId="2BC8A8B0"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L’articolo reca disposizioni di carattere ordinamentale.</w:t>
            </w:r>
          </w:p>
        </w:tc>
      </w:tr>
      <w:tr w:rsidR="00BA0E24" w14:paraId="5AD06EE2" w14:textId="77777777">
        <w:tc>
          <w:tcPr>
            <w:tcW w:w="870" w:type="dxa"/>
            <w:shd w:val="clear" w:color="auto" w:fill="auto"/>
            <w:tcMar>
              <w:top w:w="100" w:type="dxa"/>
              <w:left w:w="100" w:type="dxa"/>
              <w:bottom w:w="100" w:type="dxa"/>
              <w:right w:w="100" w:type="dxa"/>
            </w:tcMar>
          </w:tcPr>
          <w:p w14:paraId="26C208FC"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6</w:t>
            </w:r>
          </w:p>
        </w:tc>
        <w:tc>
          <w:tcPr>
            <w:tcW w:w="1860" w:type="dxa"/>
            <w:shd w:val="clear" w:color="auto" w:fill="auto"/>
            <w:tcMar>
              <w:top w:w="100" w:type="dxa"/>
              <w:left w:w="100" w:type="dxa"/>
              <w:bottom w:w="100" w:type="dxa"/>
              <w:right w:w="100" w:type="dxa"/>
            </w:tcMar>
          </w:tcPr>
          <w:p w14:paraId="7CDF77E5"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NO</w:t>
            </w:r>
          </w:p>
        </w:tc>
        <w:tc>
          <w:tcPr>
            <w:tcW w:w="1980" w:type="dxa"/>
            <w:shd w:val="clear" w:color="auto" w:fill="auto"/>
            <w:tcMar>
              <w:top w:w="100" w:type="dxa"/>
              <w:left w:w="100" w:type="dxa"/>
              <w:bottom w:w="100" w:type="dxa"/>
              <w:right w:w="100" w:type="dxa"/>
            </w:tcMar>
          </w:tcPr>
          <w:p w14:paraId="24078FEB"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550" w:type="dxa"/>
            <w:shd w:val="clear" w:color="auto" w:fill="auto"/>
            <w:tcMar>
              <w:top w:w="100" w:type="dxa"/>
              <w:left w:w="100" w:type="dxa"/>
              <w:bottom w:w="100" w:type="dxa"/>
              <w:right w:w="100" w:type="dxa"/>
            </w:tcMar>
          </w:tcPr>
          <w:p w14:paraId="5128EA6F"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475" w:type="dxa"/>
            <w:shd w:val="clear" w:color="auto" w:fill="auto"/>
            <w:tcMar>
              <w:top w:w="100" w:type="dxa"/>
              <w:left w:w="100" w:type="dxa"/>
              <w:bottom w:w="100" w:type="dxa"/>
              <w:right w:w="100" w:type="dxa"/>
            </w:tcMar>
          </w:tcPr>
          <w:p w14:paraId="29B689C7"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L’articolo reca disposizioni di carattere ordinamentale.</w:t>
            </w:r>
          </w:p>
        </w:tc>
      </w:tr>
      <w:tr w:rsidR="00BA0E24" w14:paraId="571CAF80" w14:textId="77777777">
        <w:tc>
          <w:tcPr>
            <w:tcW w:w="870" w:type="dxa"/>
            <w:shd w:val="clear" w:color="auto" w:fill="auto"/>
            <w:tcMar>
              <w:top w:w="100" w:type="dxa"/>
              <w:left w:w="100" w:type="dxa"/>
              <w:bottom w:w="100" w:type="dxa"/>
              <w:right w:w="100" w:type="dxa"/>
            </w:tcMar>
          </w:tcPr>
          <w:p w14:paraId="093ABAE8"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7</w:t>
            </w:r>
          </w:p>
        </w:tc>
        <w:tc>
          <w:tcPr>
            <w:tcW w:w="1860" w:type="dxa"/>
            <w:shd w:val="clear" w:color="auto" w:fill="auto"/>
            <w:tcMar>
              <w:top w:w="100" w:type="dxa"/>
              <w:left w:w="100" w:type="dxa"/>
              <w:bottom w:w="100" w:type="dxa"/>
              <w:right w:w="100" w:type="dxa"/>
            </w:tcMar>
          </w:tcPr>
          <w:p w14:paraId="2D2111DA"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SI</w:t>
            </w:r>
          </w:p>
        </w:tc>
        <w:tc>
          <w:tcPr>
            <w:tcW w:w="1980" w:type="dxa"/>
            <w:shd w:val="clear" w:color="auto" w:fill="auto"/>
            <w:tcMar>
              <w:top w:w="100" w:type="dxa"/>
              <w:left w:w="100" w:type="dxa"/>
              <w:bottom w:w="100" w:type="dxa"/>
              <w:right w:w="100" w:type="dxa"/>
            </w:tcMar>
          </w:tcPr>
          <w:p w14:paraId="68B69B2E"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 xml:space="preserve">70.000,00 euro per l’annualità </w:t>
            </w:r>
            <w:r>
              <w:rPr>
                <w:rFonts w:ascii="Bookman Old Style" w:eastAsia="Bookman Old Style" w:hAnsi="Bookman Old Style" w:cs="Bookman Old Style"/>
              </w:rPr>
              <w:lastRenderedPageBreak/>
              <w:t>2023</w:t>
            </w:r>
          </w:p>
        </w:tc>
        <w:tc>
          <w:tcPr>
            <w:tcW w:w="2550" w:type="dxa"/>
            <w:shd w:val="clear" w:color="auto" w:fill="auto"/>
            <w:tcMar>
              <w:top w:w="100" w:type="dxa"/>
              <w:left w:w="100" w:type="dxa"/>
              <w:bottom w:w="100" w:type="dxa"/>
              <w:right w:w="100" w:type="dxa"/>
            </w:tcMar>
          </w:tcPr>
          <w:p w14:paraId="406C1C63"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lastRenderedPageBreak/>
              <w:t>L’articolo reca la norma finanziaria.</w:t>
            </w:r>
          </w:p>
          <w:p w14:paraId="0E89D24B"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 xml:space="preserve">La quantificazione </w:t>
            </w:r>
            <w:r>
              <w:rPr>
                <w:rFonts w:ascii="Bookman Old Style" w:eastAsia="Bookman Old Style" w:hAnsi="Bookman Old Style" w:cs="Bookman Old Style"/>
              </w:rPr>
              <w:lastRenderedPageBreak/>
              <w:t>degli oneri è stata effettuata sulla base delle stime riportate in relazione al precedente articolo 3.</w:t>
            </w:r>
          </w:p>
        </w:tc>
        <w:tc>
          <w:tcPr>
            <w:tcW w:w="2475" w:type="dxa"/>
            <w:shd w:val="clear" w:color="auto" w:fill="auto"/>
            <w:tcMar>
              <w:top w:w="100" w:type="dxa"/>
              <w:left w:w="100" w:type="dxa"/>
              <w:bottom w:w="100" w:type="dxa"/>
              <w:right w:w="100" w:type="dxa"/>
            </w:tcMar>
          </w:tcPr>
          <w:p w14:paraId="58552FEE"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lastRenderedPageBreak/>
              <w:t>//</w:t>
            </w:r>
          </w:p>
        </w:tc>
      </w:tr>
      <w:tr w:rsidR="00BA0E24" w14:paraId="692CCD16" w14:textId="77777777">
        <w:tc>
          <w:tcPr>
            <w:tcW w:w="870" w:type="dxa"/>
            <w:shd w:val="clear" w:color="auto" w:fill="auto"/>
            <w:tcMar>
              <w:top w:w="100" w:type="dxa"/>
              <w:left w:w="100" w:type="dxa"/>
              <w:bottom w:w="100" w:type="dxa"/>
              <w:right w:w="100" w:type="dxa"/>
            </w:tcMar>
          </w:tcPr>
          <w:p w14:paraId="0285ACE0"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8</w:t>
            </w:r>
          </w:p>
        </w:tc>
        <w:tc>
          <w:tcPr>
            <w:tcW w:w="1860" w:type="dxa"/>
            <w:shd w:val="clear" w:color="auto" w:fill="auto"/>
            <w:tcMar>
              <w:top w:w="100" w:type="dxa"/>
              <w:left w:w="100" w:type="dxa"/>
              <w:bottom w:w="100" w:type="dxa"/>
              <w:right w:w="100" w:type="dxa"/>
            </w:tcMar>
          </w:tcPr>
          <w:p w14:paraId="5D45CC03"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NO</w:t>
            </w:r>
          </w:p>
        </w:tc>
        <w:tc>
          <w:tcPr>
            <w:tcW w:w="1980" w:type="dxa"/>
            <w:shd w:val="clear" w:color="auto" w:fill="auto"/>
            <w:tcMar>
              <w:top w:w="100" w:type="dxa"/>
              <w:left w:w="100" w:type="dxa"/>
              <w:bottom w:w="100" w:type="dxa"/>
              <w:right w:w="100" w:type="dxa"/>
            </w:tcMar>
          </w:tcPr>
          <w:p w14:paraId="59B08999"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550" w:type="dxa"/>
            <w:shd w:val="clear" w:color="auto" w:fill="auto"/>
            <w:tcMar>
              <w:top w:w="100" w:type="dxa"/>
              <w:left w:w="100" w:type="dxa"/>
              <w:bottom w:w="100" w:type="dxa"/>
              <w:right w:w="100" w:type="dxa"/>
            </w:tcMar>
          </w:tcPr>
          <w:p w14:paraId="649BA2BF"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2475" w:type="dxa"/>
            <w:shd w:val="clear" w:color="auto" w:fill="auto"/>
            <w:tcMar>
              <w:top w:w="100" w:type="dxa"/>
              <w:left w:w="100" w:type="dxa"/>
              <w:bottom w:w="100" w:type="dxa"/>
              <w:right w:w="100" w:type="dxa"/>
            </w:tcMar>
          </w:tcPr>
          <w:p w14:paraId="41BF765E" w14:textId="77777777" w:rsidR="00BA0E24" w:rsidRDefault="00000000">
            <w:pPr>
              <w:widowControl w:val="0"/>
              <w:ind w:left="0" w:hanging="2"/>
              <w:rPr>
                <w:rFonts w:ascii="Bookman Old Style" w:eastAsia="Bookman Old Style" w:hAnsi="Bookman Old Style" w:cs="Bookman Old Style"/>
              </w:rPr>
            </w:pPr>
            <w:r>
              <w:rPr>
                <w:rFonts w:ascii="Bookman Old Style" w:eastAsia="Bookman Old Style" w:hAnsi="Bookman Old Style" w:cs="Bookman Old Style"/>
              </w:rPr>
              <w:t>L’articolo riguarda l’entrata in vigore del provvedimento normativo.</w:t>
            </w:r>
          </w:p>
        </w:tc>
      </w:tr>
      <w:tr w:rsidR="00BA0E24" w14:paraId="259B6E32" w14:textId="77777777">
        <w:tc>
          <w:tcPr>
            <w:tcW w:w="870" w:type="dxa"/>
            <w:shd w:val="clear" w:color="auto" w:fill="93C47D"/>
            <w:tcMar>
              <w:top w:w="100" w:type="dxa"/>
              <w:left w:w="100" w:type="dxa"/>
              <w:bottom w:w="100" w:type="dxa"/>
              <w:right w:w="100" w:type="dxa"/>
            </w:tcMar>
          </w:tcPr>
          <w:p w14:paraId="76C4B622" w14:textId="77777777" w:rsidR="00BA0E24" w:rsidRDefault="00BA0E24">
            <w:pPr>
              <w:widowControl w:val="0"/>
              <w:ind w:left="0" w:hanging="2"/>
              <w:rPr>
                <w:rFonts w:ascii="Bookman Old Style" w:eastAsia="Bookman Old Style" w:hAnsi="Bookman Old Style" w:cs="Bookman Old Style"/>
              </w:rPr>
            </w:pPr>
          </w:p>
        </w:tc>
        <w:tc>
          <w:tcPr>
            <w:tcW w:w="1860" w:type="dxa"/>
            <w:shd w:val="clear" w:color="auto" w:fill="93C47D"/>
            <w:tcMar>
              <w:top w:w="100" w:type="dxa"/>
              <w:left w:w="100" w:type="dxa"/>
              <w:bottom w:w="100" w:type="dxa"/>
              <w:right w:w="100" w:type="dxa"/>
            </w:tcMar>
          </w:tcPr>
          <w:p w14:paraId="738C1AD4" w14:textId="77777777" w:rsidR="00BA0E24" w:rsidRDefault="00BA0E24">
            <w:pPr>
              <w:widowControl w:val="0"/>
              <w:ind w:left="0" w:hanging="2"/>
              <w:rPr>
                <w:rFonts w:ascii="Bookman Old Style" w:eastAsia="Bookman Old Style" w:hAnsi="Bookman Old Style" w:cs="Bookman Old Style"/>
              </w:rPr>
            </w:pPr>
          </w:p>
        </w:tc>
        <w:tc>
          <w:tcPr>
            <w:tcW w:w="1980" w:type="dxa"/>
            <w:shd w:val="clear" w:color="auto" w:fill="auto"/>
            <w:tcMar>
              <w:top w:w="100" w:type="dxa"/>
              <w:left w:w="100" w:type="dxa"/>
              <w:bottom w:w="100" w:type="dxa"/>
              <w:right w:w="100" w:type="dxa"/>
            </w:tcMar>
          </w:tcPr>
          <w:p w14:paraId="60EE272E" w14:textId="77777777" w:rsidR="00BA0E24" w:rsidRDefault="00000000">
            <w:pPr>
              <w:widowControl w:val="0"/>
              <w:ind w:left="0" w:hanging="2"/>
              <w:rPr>
                <w:rFonts w:ascii="Bookman Old Style" w:eastAsia="Bookman Old Style" w:hAnsi="Bookman Old Style" w:cs="Bookman Old Style"/>
                <w:b/>
              </w:rPr>
            </w:pPr>
            <w:r>
              <w:rPr>
                <w:rFonts w:ascii="Bookman Old Style" w:eastAsia="Bookman Old Style" w:hAnsi="Bookman Old Style" w:cs="Bookman Old Style"/>
                <w:b/>
              </w:rPr>
              <w:t>Stanziamento complessivo</w:t>
            </w:r>
          </w:p>
        </w:tc>
        <w:tc>
          <w:tcPr>
            <w:tcW w:w="2550" w:type="dxa"/>
            <w:shd w:val="clear" w:color="auto" w:fill="auto"/>
            <w:tcMar>
              <w:top w:w="100" w:type="dxa"/>
              <w:left w:w="100" w:type="dxa"/>
              <w:bottom w:w="100" w:type="dxa"/>
              <w:right w:w="100" w:type="dxa"/>
            </w:tcMar>
          </w:tcPr>
          <w:p w14:paraId="2B620CC5"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70.000,00 euro per l’annualità 2023</w:t>
            </w:r>
          </w:p>
        </w:tc>
        <w:tc>
          <w:tcPr>
            <w:tcW w:w="2475" w:type="dxa"/>
            <w:shd w:val="clear" w:color="auto" w:fill="auto"/>
            <w:tcMar>
              <w:top w:w="100" w:type="dxa"/>
              <w:left w:w="100" w:type="dxa"/>
              <w:bottom w:w="100" w:type="dxa"/>
              <w:right w:w="100" w:type="dxa"/>
            </w:tcMar>
          </w:tcPr>
          <w:p w14:paraId="6B909B1C"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r>
    </w:tbl>
    <w:p w14:paraId="56DF32BA" w14:textId="77777777" w:rsidR="00BA0E24" w:rsidRDefault="00BA0E24">
      <w:pPr>
        <w:spacing w:before="200" w:line="276" w:lineRule="auto"/>
        <w:ind w:left="0" w:hanging="2"/>
        <w:jc w:val="both"/>
        <w:rPr>
          <w:rFonts w:ascii="Bookman Old Style" w:eastAsia="Bookman Old Style" w:hAnsi="Bookman Old Style" w:cs="Bookman Old Style"/>
          <w:b/>
        </w:rPr>
      </w:pPr>
    </w:p>
    <w:p w14:paraId="4BA9FD1C" w14:textId="77777777" w:rsidR="00BA0E24" w:rsidRDefault="00000000">
      <w:pPr>
        <w:spacing w:before="200" w:line="276" w:lineRule="auto"/>
        <w:ind w:left="0" w:hanging="2"/>
        <w:jc w:val="center"/>
        <w:rPr>
          <w:rFonts w:ascii="Bookman Old Style" w:eastAsia="Bookman Old Style" w:hAnsi="Bookman Old Style" w:cs="Bookman Old Style"/>
          <w:sz w:val="22"/>
          <w:szCs w:val="22"/>
        </w:rPr>
      </w:pPr>
      <w:r>
        <w:rPr>
          <w:rFonts w:ascii="Bookman Old Style" w:eastAsia="Bookman Old Style" w:hAnsi="Bookman Old Style" w:cs="Bookman Old Style"/>
          <w:b/>
        </w:rPr>
        <w:t>SEZIONE 3 - MODALITÀ DI COPERTURA DEGLI ONERI FINANZIARI</w:t>
      </w:r>
    </w:p>
    <w:tbl>
      <w:tblPr>
        <w:tblStyle w:val="a1"/>
        <w:tblW w:w="972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330"/>
        <w:gridCol w:w="2985"/>
        <w:gridCol w:w="1785"/>
        <w:gridCol w:w="1620"/>
      </w:tblGrid>
      <w:tr w:rsidR="00BA0E24" w14:paraId="23CB7FD1" w14:textId="77777777">
        <w:trPr>
          <w:trHeight w:val="420"/>
        </w:trPr>
        <w:tc>
          <w:tcPr>
            <w:tcW w:w="9720" w:type="dxa"/>
            <w:gridSpan w:val="4"/>
            <w:shd w:val="clear" w:color="auto" w:fill="93C47D"/>
            <w:tcMar>
              <w:top w:w="100" w:type="dxa"/>
              <w:left w:w="100" w:type="dxa"/>
              <w:bottom w:w="100" w:type="dxa"/>
              <w:right w:w="100" w:type="dxa"/>
            </w:tcMar>
          </w:tcPr>
          <w:p w14:paraId="535FF875" w14:textId="77777777" w:rsidR="00BA0E24" w:rsidRDefault="00000000">
            <w:pPr>
              <w:spacing w:before="200" w:after="200" w:line="276" w:lineRule="auto"/>
              <w:ind w:left="0" w:hanging="2"/>
              <w:jc w:val="center"/>
              <w:rPr>
                <w:rFonts w:ascii="Bookman Old Style" w:eastAsia="Bookman Old Style" w:hAnsi="Bookman Old Style" w:cs="Bookman Old Style"/>
                <w:b/>
                <w:sz w:val="22"/>
                <w:szCs w:val="22"/>
              </w:rPr>
            </w:pPr>
            <w:r>
              <w:rPr>
                <w:rFonts w:ascii="Bookman Old Style" w:eastAsia="Bookman Old Style" w:hAnsi="Bookman Old Style" w:cs="Bookman Old Style"/>
                <w:b/>
              </w:rPr>
              <w:t>MODALITÀ DI COPERTURA</w:t>
            </w:r>
          </w:p>
        </w:tc>
      </w:tr>
      <w:tr w:rsidR="00BA0E24" w14:paraId="138DECA6" w14:textId="77777777">
        <w:tc>
          <w:tcPr>
            <w:tcW w:w="3330" w:type="dxa"/>
            <w:shd w:val="clear" w:color="auto" w:fill="93C47D"/>
            <w:tcMar>
              <w:top w:w="100" w:type="dxa"/>
              <w:left w:w="100" w:type="dxa"/>
              <w:bottom w:w="100" w:type="dxa"/>
              <w:right w:w="100" w:type="dxa"/>
            </w:tcMar>
          </w:tcPr>
          <w:p w14:paraId="50F32A33" w14:textId="77777777" w:rsidR="00BA0E24" w:rsidRDefault="00BA0E24">
            <w:pPr>
              <w:widowControl w:val="0"/>
              <w:ind w:left="0" w:hanging="2"/>
              <w:jc w:val="center"/>
              <w:rPr>
                <w:rFonts w:ascii="Bookman Old Style" w:eastAsia="Bookman Old Style" w:hAnsi="Bookman Old Style" w:cs="Bookman Old Style"/>
                <w:b/>
              </w:rPr>
            </w:pPr>
          </w:p>
        </w:tc>
        <w:tc>
          <w:tcPr>
            <w:tcW w:w="2985" w:type="dxa"/>
            <w:tcMar>
              <w:top w:w="100" w:type="dxa"/>
              <w:left w:w="100" w:type="dxa"/>
              <w:bottom w:w="100" w:type="dxa"/>
              <w:right w:w="100" w:type="dxa"/>
            </w:tcMar>
          </w:tcPr>
          <w:p w14:paraId="1BA6C5FD"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Missione, Programma e Titolo</w:t>
            </w:r>
          </w:p>
        </w:tc>
        <w:tc>
          <w:tcPr>
            <w:tcW w:w="1785" w:type="dxa"/>
            <w:tcMar>
              <w:top w:w="100" w:type="dxa"/>
              <w:left w:w="100" w:type="dxa"/>
              <w:bottom w:w="100" w:type="dxa"/>
              <w:right w:w="100" w:type="dxa"/>
            </w:tcMar>
          </w:tcPr>
          <w:p w14:paraId="68063E1E"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IMPORTO</w:t>
            </w:r>
          </w:p>
        </w:tc>
        <w:tc>
          <w:tcPr>
            <w:tcW w:w="1620" w:type="dxa"/>
            <w:tcMar>
              <w:top w:w="100" w:type="dxa"/>
              <w:left w:w="100" w:type="dxa"/>
              <w:bottom w:w="100" w:type="dxa"/>
              <w:right w:w="100" w:type="dxa"/>
            </w:tcMar>
          </w:tcPr>
          <w:p w14:paraId="528A027A" w14:textId="77777777" w:rsidR="00BA0E24" w:rsidRDefault="00000000">
            <w:pPr>
              <w:widowControl w:val="0"/>
              <w:ind w:left="0" w:hanging="2"/>
              <w:jc w:val="center"/>
              <w:rPr>
                <w:rFonts w:ascii="Bookman Old Style" w:eastAsia="Bookman Old Style" w:hAnsi="Bookman Old Style" w:cs="Bookman Old Style"/>
                <w:b/>
              </w:rPr>
            </w:pPr>
            <w:r>
              <w:rPr>
                <w:rFonts w:ascii="Bookman Old Style" w:eastAsia="Bookman Old Style" w:hAnsi="Bookman Old Style" w:cs="Bookman Old Style"/>
                <w:b/>
              </w:rPr>
              <w:t>ANNO</w:t>
            </w:r>
          </w:p>
        </w:tc>
      </w:tr>
      <w:tr w:rsidR="00BA0E24" w14:paraId="6A1E6260" w14:textId="77777777">
        <w:tc>
          <w:tcPr>
            <w:tcW w:w="3330" w:type="dxa"/>
            <w:tcMar>
              <w:top w:w="100" w:type="dxa"/>
              <w:left w:w="100" w:type="dxa"/>
              <w:bottom w:w="100" w:type="dxa"/>
              <w:right w:w="100" w:type="dxa"/>
            </w:tcMar>
          </w:tcPr>
          <w:p w14:paraId="46BC461D" w14:textId="77777777" w:rsidR="00BA0E24" w:rsidRDefault="00000000">
            <w:pPr>
              <w:widowControl w:val="0"/>
              <w:ind w:left="0" w:hanging="2"/>
              <w:rPr>
                <w:rFonts w:ascii="Bookman Old Style" w:eastAsia="Bookman Old Style" w:hAnsi="Bookman Old Style" w:cs="Bookman Old Style"/>
                <w:b/>
              </w:rPr>
            </w:pPr>
            <w:r>
              <w:rPr>
                <w:rFonts w:ascii="Bookman Old Style" w:eastAsia="Bookman Old Style" w:hAnsi="Bookman Old Style" w:cs="Bookman Old Style"/>
                <w:b/>
              </w:rPr>
              <w:t>Riduzione di precedenti autorizzazioni legislative di spesa</w:t>
            </w:r>
          </w:p>
        </w:tc>
        <w:tc>
          <w:tcPr>
            <w:tcW w:w="2985" w:type="dxa"/>
            <w:tcMar>
              <w:top w:w="100" w:type="dxa"/>
              <w:left w:w="100" w:type="dxa"/>
              <w:bottom w:w="100" w:type="dxa"/>
              <w:right w:w="100" w:type="dxa"/>
            </w:tcMar>
          </w:tcPr>
          <w:p w14:paraId="3FDAAE03"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1785" w:type="dxa"/>
            <w:tcMar>
              <w:top w:w="100" w:type="dxa"/>
              <w:left w:w="100" w:type="dxa"/>
              <w:bottom w:w="100" w:type="dxa"/>
              <w:right w:w="100" w:type="dxa"/>
            </w:tcMar>
          </w:tcPr>
          <w:p w14:paraId="43527D02"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1620" w:type="dxa"/>
            <w:tcMar>
              <w:top w:w="100" w:type="dxa"/>
              <w:left w:w="100" w:type="dxa"/>
              <w:bottom w:w="100" w:type="dxa"/>
              <w:right w:w="100" w:type="dxa"/>
            </w:tcMar>
          </w:tcPr>
          <w:p w14:paraId="4E92A059"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r>
      <w:tr w:rsidR="00BA0E24" w14:paraId="41460001" w14:textId="77777777">
        <w:tc>
          <w:tcPr>
            <w:tcW w:w="3330" w:type="dxa"/>
            <w:tcMar>
              <w:top w:w="100" w:type="dxa"/>
              <w:left w:w="100" w:type="dxa"/>
              <w:bottom w:w="100" w:type="dxa"/>
              <w:right w:w="100" w:type="dxa"/>
            </w:tcMar>
          </w:tcPr>
          <w:p w14:paraId="2AB0FA3B" w14:textId="77777777" w:rsidR="00BA0E24" w:rsidRDefault="00000000">
            <w:pPr>
              <w:widowControl w:val="0"/>
              <w:ind w:left="0" w:hanging="2"/>
              <w:rPr>
                <w:rFonts w:ascii="Bookman Old Style" w:eastAsia="Bookman Old Style" w:hAnsi="Bookman Old Style" w:cs="Bookman Old Style"/>
                <w:b/>
              </w:rPr>
            </w:pPr>
            <w:r>
              <w:rPr>
                <w:rFonts w:ascii="Bookman Old Style" w:eastAsia="Bookman Old Style" w:hAnsi="Bookman Old Style" w:cs="Bookman Old Style"/>
                <w:b/>
              </w:rPr>
              <w:t>Risorse iscritte in fondi speciali</w:t>
            </w:r>
          </w:p>
        </w:tc>
        <w:tc>
          <w:tcPr>
            <w:tcW w:w="2985" w:type="dxa"/>
            <w:tcMar>
              <w:top w:w="100" w:type="dxa"/>
              <w:left w:w="100" w:type="dxa"/>
              <w:bottom w:w="100" w:type="dxa"/>
              <w:right w:w="100" w:type="dxa"/>
            </w:tcMar>
          </w:tcPr>
          <w:p w14:paraId="627C7EDA" w14:textId="77777777" w:rsidR="00BA0E24" w:rsidRDefault="00000000">
            <w:pPr>
              <w:widowControl w:val="0"/>
              <w:ind w:left="0" w:hanging="2"/>
              <w:jc w:val="both"/>
              <w:rPr>
                <w:rFonts w:ascii="Bookman Old Style" w:eastAsia="Bookman Old Style" w:hAnsi="Bookman Old Style" w:cs="Bookman Old Style"/>
              </w:rPr>
            </w:pPr>
            <w:r>
              <w:rPr>
                <w:rFonts w:ascii="Bookman Old Style" w:eastAsia="Bookman Old Style" w:hAnsi="Bookman Old Style" w:cs="Bookman Old Style"/>
              </w:rPr>
              <w:t>Prelievo dalla Missione 20, Programma 1, Titolo 2 e incremento delle medesime somme della Missione 8, Programma 1, Titolo 2.</w:t>
            </w:r>
          </w:p>
        </w:tc>
        <w:tc>
          <w:tcPr>
            <w:tcW w:w="1785" w:type="dxa"/>
            <w:tcMar>
              <w:top w:w="100" w:type="dxa"/>
              <w:left w:w="100" w:type="dxa"/>
              <w:bottom w:w="100" w:type="dxa"/>
              <w:right w:w="100" w:type="dxa"/>
            </w:tcMar>
          </w:tcPr>
          <w:p w14:paraId="5D1B4DBB"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70.000,00 euro</w:t>
            </w:r>
          </w:p>
        </w:tc>
        <w:tc>
          <w:tcPr>
            <w:tcW w:w="1620" w:type="dxa"/>
            <w:tcMar>
              <w:top w:w="100" w:type="dxa"/>
              <w:left w:w="100" w:type="dxa"/>
              <w:bottom w:w="100" w:type="dxa"/>
              <w:right w:w="100" w:type="dxa"/>
            </w:tcMar>
          </w:tcPr>
          <w:p w14:paraId="7B81E548"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2023</w:t>
            </w:r>
          </w:p>
        </w:tc>
      </w:tr>
      <w:tr w:rsidR="00BA0E24" w14:paraId="73AA44BE" w14:textId="77777777">
        <w:tc>
          <w:tcPr>
            <w:tcW w:w="3330" w:type="dxa"/>
            <w:tcMar>
              <w:top w:w="100" w:type="dxa"/>
              <w:left w:w="100" w:type="dxa"/>
              <w:bottom w:w="100" w:type="dxa"/>
              <w:right w:w="100" w:type="dxa"/>
            </w:tcMar>
          </w:tcPr>
          <w:p w14:paraId="357B0227" w14:textId="77777777" w:rsidR="00BA0E24" w:rsidRDefault="00000000">
            <w:pPr>
              <w:widowControl w:val="0"/>
              <w:ind w:left="0" w:hanging="2"/>
              <w:rPr>
                <w:rFonts w:ascii="Bookman Old Style" w:eastAsia="Bookman Old Style" w:hAnsi="Bookman Old Style" w:cs="Bookman Old Style"/>
                <w:b/>
              </w:rPr>
            </w:pPr>
            <w:r>
              <w:rPr>
                <w:rFonts w:ascii="Bookman Old Style" w:eastAsia="Bookman Old Style" w:hAnsi="Bookman Old Style" w:cs="Bookman Old Style"/>
                <w:b/>
              </w:rPr>
              <w:t>Risorse derivanti da nuove/maggiori entrate</w:t>
            </w:r>
          </w:p>
        </w:tc>
        <w:tc>
          <w:tcPr>
            <w:tcW w:w="2985" w:type="dxa"/>
            <w:tcMar>
              <w:top w:w="100" w:type="dxa"/>
              <w:left w:w="100" w:type="dxa"/>
              <w:bottom w:w="100" w:type="dxa"/>
              <w:right w:w="100" w:type="dxa"/>
            </w:tcMar>
          </w:tcPr>
          <w:p w14:paraId="4B0E5933"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1785" w:type="dxa"/>
            <w:tcMar>
              <w:top w:w="100" w:type="dxa"/>
              <w:left w:w="100" w:type="dxa"/>
              <w:bottom w:w="100" w:type="dxa"/>
              <w:right w:w="100" w:type="dxa"/>
            </w:tcMar>
          </w:tcPr>
          <w:p w14:paraId="0080DADD"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1620" w:type="dxa"/>
            <w:tcMar>
              <w:top w:w="100" w:type="dxa"/>
              <w:left w:w="100" w:type="dxa"/>
              <w:bottom w:w="100" w:type="dxa"/>
              <w:right w:w="100" w:type="dxa"/>
            </w:tcMar>
          </w:tcPr>
          <w:p w14:paraId="6A5901E3"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r>
      <w:tr w:rsidR="00BA0E24" w14:paraId="2E481A16" w14:textId="77777777">
        <w:tc>
          <w:tcPr>
            <w:tcW w:w="3330" w:type="dxa"/>
            <w:tcMar>
              <w:top w:w="100" w:type="dxa"/>
              <w:left w:w="100" w:type="dxa"/>
              <w:bottom w:w="100" w:type="dxa"/>
              <w:right w:w="100" w:type="dxa"/>
            </w:tcMar>
          </w:tcPr>
          <w:p w14:paraId="661C2C2D" w14:textId="77777777" w:rsidR="00BA0E24" w:rsidRDefault="00000000">
            <w:pPr>
              <w:widowControl w:val="0"/>
              <w:ind w:left="0" w:hanging="2"/>
              <w:rPr>
                <w:rFonts w:ascii="Bookman Old Style" w:eastAsia="Bookman Old Style" w:hAnsi="Bookman Old Style" w:cs="Bookman Old Style"/>
                <w:b/>
              </w:rPr>
            </w:pPr>
            <w:r>
              <w:rPr>
                <w:rFonts w:ascii="Bookman Old Style" w:eastAsia="Bookman Old Style" w:hAnsi="Bookman Old Style" w:cs="Bookman Old Style"/>
                <w:b/>
              </w:rPr>
              <w:t>Altre modalità</w:t>
            </w:r>
          </w:p>
        </w:tc>
        <w:tc>
          <w:tcPr>
            <w:tcW w:w="2985" w:type="dxa"/>
            <w:tcMar>
              <w:top w:w="100" w:type="dxa"/>
              <w:left w:w="100" w:type="dxa"/>
              <w:bottom w:w="100" w:type="dxa"/>
              <w:right w:w="100" w:type="dxa"/>
            </w:tcMar>
          </w:tcPr>
          <w:p w14:paraId="61D79DA0"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1785" w:type="dxa"/>
            <w:tcMar>
              <w:top w:w="100" w:type="dxa"/>
              <w:left w:w="100" w:type="dxa"/>
              <w:bottom w:w="100" w:type="dxa"/>
              <w:right w:w="100" w:type="dxa"/>
            </w:tcMar>
          </w:tcPr>
          <w:p w14:paraId="27C6F6D1"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c>
          <w:tcPr>
            <w:tcW w:w="1620" w:type="dxa"/>
            <w:tcMar>
              <w:top w:w="100" w:type="dxa"/>
              <w:left w:w="100" w:type="dxa"/>
              <w:bottom w:w="100" w:type="dxa"/>
              <w:right w:w="100" w:type="dxa"/>
            </w:tcMar>
          </w:tcPr>
          <w:p w14:paraId="16F774CA" w14:textId="77777777" w:rsidR="00BA0E24" w:rsidRDefault="00000000">
            <w:pPr>
              <w:widowControl w:val="0"/>
              <w:ind w:left="0" w:hanging="2"/>
              <w:jc w:val="center"/>
              <w:rPr>
                <w:rFonts w:ascii="Bookman Old Style" w:eastAsia="Bookman Old Style" w:hAnsi="Bookman Old Style" w:cs="Bookman Old Style"/>
              </w:rPr>
            </w:pPr>
            <w:r>
              <w:rPr>
                <w:rFonts w:ascii="Bookman Old Style" w:eastAsia="Bookman Old Style" w:hAnsi="Bookman Old Style" w:cs="Bookman Old Style"/>
              </w:rPr>
              <w:t>//</w:t>
            </w:r>
          </w:p>
        </w:tc>
      </w:tr>
    </w:tbl>
    <w:p w14:paraId="1A55CF51" w14:textId="4B7EE670" w:rsidR="00BA0E24" w:rsidRDefault="00BA0E24" w:rsidP="00740F10">
      <w:pPr>
        <w:pBdr>
          <w:top w:val="nil"/>
          <w:left w:val="nil"/>
          <w:bottom w:val="nil"/>
          <w:right w:val="nil"/>
          <w:between w:val="nil"/>
        </w:pBdr>
        <w:spacing w:line="240" w:lineRule="auto"/>
        <w:ind w:left="0" w:hanging="2"/>
        <w:jc w:val="both"/>
        <w:rPr>
          <w:rFonts w:ascii="Bookman Old Style" w:eastAsia="Bookman Old Style" w:hAnsi="Bookman Old Style" w:cs="Bookman Old Style"/>
          <w:color w:val="000000"/>
        </w:rPr>
      </w:pPr>
    </w:p>
    <w:sectPr w:rsidR="00BA0E24">
      <w:headerReference w:type="default" r:id="rId8"/>
      <w:pgSz w:w="11900" w:h="17340"/>
      <w:pgMar w:top="917" w:right="862" w:bottom="284" w:left="1077"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AF9874" w14:textId="77777777" w:rsidR="00515D58" w:rsidRDefault="00515D58">
      <w:pPr>
        <w:spacing w:line="240" w:lineRule="auto"/>
        <w:ind w:left="0" w:hanging="2"/>
      </w:pPr>
      <w:r>
        <w:separator/>
      </w:r>
    </w:p>
  </w:endnote>
  <w:endnote w:type="continuationSeparator" w:id="0">
    <w:p w14:paraId="4759E920" w14:textId="77777777" w:rsidR="00515D58" w:rsidRDefault="00515D58">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3649C4" w14:textId="77777777" w:rsidR="00515D58" w:rsidRDefault="00515D58">
      <w:pPr>
        <w:spacing w:line="240" w:lineRule="auto"/>
        <w:ind w:left="0" w:hanging="2"/>
      </w:pPr>
      <w:r>
        <w:separator/>
      </w:r>
    </w:p>
  </w:footnote>
  <w:footnote w:type="continuationSeparator" w:id="0">
    <w:p w14:paraId="7A6848C9" w14:textId="77777777" w:rsidR="00515D58" w:rsidRDefault="00515D58">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5A81A" w14:textId="77777777" w:rsidR="00BA0E24" w:rsidRDefault="00000000">
    <w:pPr>
      <w:pBdr>
        <w:top w:val="nil"/>
        <w:left w:val="nil"/>
        <w:bottom w:val="nil"/>
        <w:right w:val="nil"/>
        <w:between w:val="nil"/>
      </w:pBdr>
      <w:spacing w:line="312" w:lineRule="auto"/>
      <w:ind w:left="0" w:hanging="2"/>
      <w:jc w:val="center"/>
      <w:rPr>
        <w:color w:val="000000"/>
      </w:rPr>
    </w:pPr>
    <w:r>
      <w:rPr>
        <w:b/>
        <w:noProof/>
        <w:color w:val="000000"/>
      </w:rPr>
      <w:drawing>
        <wp:inline distT="0" distB="0" distL="114300" distR="114300" wp14:anchorId="40001B81" wp14:editId="5F2BEA4B">
          <wp:extent cx="1184275" cy="608965"/>
          <wp:effectExtent l="0" t="0" r="0" b="0"/>
          <wp:docPr id="1027" name="image1.png" descr="headerL"/>
          <wp:cNvGraphicFramePr/>
          <a:graphic xmlns:a="http://schemas.openxmlformats.org/drawingml/2006/main">
            <a:graphicData uri="http://schemas.openxmlformats.org/drawingml/2006/picture">
              <pic:pic xmlns:pic="http://schemas.openxmlformats.org/drawingml/2006/picture">
                <pic:nvPicPr>
                  <pic:cNvPr id="0" name="image1.png" descr="headerL"/>
                  <pic:cNvPicPr preferRelativeResize="0"/>
                </pic:nvPicPr>
                <pic:blipFill>
                  <a:blip r:embed="rId1"/>
                  <a:srcRect/>
                  <a:stretch>
                    <a:fillRect/>
                  </a:stretch>
                </pic:blipFill>
                <pic:spPr>
                  <a:xfrm>
                    <a:off x="0" y="0"/>
                    <a:ext cx="1184275" cy="608965"/>
                  </a:xfrm>
                  <a:prstGeom prst="rect">
                    <a:avLst/>
                  </a:prstGeom>
                  <a:ln/>
                </pic:spPr>
              </pic:pic>
            </a:graphicData>
          </a:graphic>
        </wp:inline>
      </w:drawing>
    </w:r>
  </w:p>
  <w:p w14:paraId="02EEAEF0" w14:textId="77777777" w:rsidR="00BA0E24" w:rsidRDefault="00000000">
    <w:pPr>
      <w:pBdr>
        <w:top w:val="nil"/>
        <w:left w:val="nil"/>
        <w:bottom w:val="nil"/>
        <w:right w:val="nil"/>
        <w:between w:val="nil"/>
      </w:pBdr>
      <w:spacing w:line="312" w:lineRule="auto"/>
      <w:ind w:left="0" w:hanging="2"/>
      <w:jc w:val="center"/>
      <w:rPr>
        <w:rFonts w:ascii="Book Antiqua" w:eastAsia="Book Antiqua" w:hAnsi="Book Antiqua" w:cs="Book Antiqua"/>
        <w:color w:val="333333"/>
      </w:rPr>
    </w:pPr>
    <w:r>
      <w:rPr>
        <w:rFonts w:ascii="Book Antiqua" w:eastAsia="Book Antiqua" w:hAnsi="Book Antiqua" w:cs="Book Antiqua"/>
        <w:i/>
        <w:color w:val="333333"/>
      </w:rPr>
      <w:t>CONSIGLIO REGIONALE DELLA CAMPANIA</w:t>
    </w:r>
  </w:p>
  <w:p w14:paraId="19B9D73A" w14:textId="77777777" w:rsidR="00BA0E24" w:rsidRDefault="00000000">
    <w:pPr>
      <w:pBdr>
        <w:top w:val="nil"/>
        <w:left w:val="nil"/>
        <w:bottom w:val="nil"/>
        <w:right w:val="nil"/>
        <w:between w:val="nil"/>
      </w:pBdr>
      <w:spacing w:line="312" w:lineRule="auto"/>
      <w:ind w:left="0" w:hanging="2"/>
      <w:jc w:val="center"/>
      <w:rPr>
        <w:rFonts w:ascii="Book Antiqua" w:eastAsia="Book Antiqua" w:hAnsi="Book Antiqua" w:cs="Book Antiqua"/>
        <w:color w:val="333333"/>
      </w:rPr>
    </w:pPr>
    <w:r>
      <w:rPr>
        <w:rFonts w:ascii="Book Antiqua" w:eastAsia="Book Antiqua" w:hAnsi="Book Antiqua" w:cs="Book Antiqua"/>
        <w:i/>
        <w:color w:val="333333"/>
      </w:rPr>
      <w:t>Cons. Maria Muscarà</w:t>
    </w:r>
  </w:p>
  <w:p w14:paraId="09827BBB" w14:textId="77777777" w:rsidR="00BA0E24" w:rsidRDefault="00000000">
    <w:pPr>
      <w:pBdr>
        <w:top w:val="nil"/>
        <w:left w:val="nil"/>
        <w:bottom w:val="nil"/>
        <w:right w:val="nil"/>
        <w:between w:val="nil"/>
      </w:pBdr>
      <w:tabs>
        <w:tab w:val="center" w:pos="4819"/>
        <w:tab w:val="right" w:pos="9638"/>
        <w:tab w:val="left" w:pos="5285"/>
      </w:tabs>
      <w:spacing w:line="240" w:lineRule="auto"/>
      <w:ind w:left="0" w:hanging="2"/>
      <w:rPr>
        <w:color w:val="000000"/>
      </w:rPr>
    </w:pPr>
    <w:r>
      <w:rPr>
        <w:color w:val="00000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320AA7"/>
    <w:multiLevelType w:val="multilevel"/>
    <w:tmpl w:val="B0D4518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39135575"/>
    <w:multiLevelType w:val="multilevel"/>
    <w:tmpl w:val="5B3A2FC8"/>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 w15:restartNumberingAfterBreak="0">
    <w:nsid w:val="3C9E32BF"/>
    <w:multiLevelType w:val="multilevel"/>
    <w:tmpl w:val="19FE927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66841FC9"/>
    <w:multiLevelType w:val="multilevel"/>
    <w:tmpl w:val="5582E1EC"/>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16cid:durableId="738940172">
    <w:abstractNumId w:val="0"/>
  </w:num>
  <w:num w:numId="2" w16cid:durableId="7415648">
    <w:abstractNumId w:val="2"/>
  </w:num>
  <w:num w:numId="3" w16cid:durableId="1130825293">
    <w:abstractNumId w:val="3"/>
  </w:num>
  <w:num w:numId="4" w16cid:durableId="1653678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0E24"/>
    <w:rsid w:val="00515D58"/>
    <w:rsid w:val="00740F10"/>
    <w:rsid w:val="00BA0E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BB8185"/>
  <w15:docId w15:val="{1945D369-9342-48EF-806C-3C51524DE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suppressAutoHyphens/>
      <w:spacing w:line="1" w:lineRule="atLeast"/>
      <w:ind w:leftChars="-1" w:left="-1" w:hangingChars="1" w:hanging="1"/>
      <w:textDirection w:val="btLr"/>
      <w:textAlignment w:val="top"/>
      <w:outlineLvl w:val="0"/>
    </w:pPr>
    <w:rPr>
      <w:position w:val="-1"/>
      <w:sz w:val="24"/>
      <w:szCs w:val="24"/>
    </w:rPr>
  </w:style>
  <w:style w:type="paragraph" w:styleId="Titolo1">
    <w:name w:val="heading 1"/>
    <w:basedOn w:val="Normale"/>
    <w:next w:val="Normale"/>
    <w:uiPriority w:val="9"/>
    <w:qFormat/>
    <w:pPr>
      <w:keepNext/>
      <w:keepLines/>
      <w:spacing w:before="480" w:after="120"/>
    </w:pPr>
    <w:rPr>
      <w:b/>
      <w:sz w:val="48"/>
      <w:szCs w:val="48"/>
    </w:rPr>
  </w:style>
  <w:style w:type="paragraph" w:styleId="Titolo2">
    <w:name w:val="heading 2"/>
    <w:basedOn w:val="Normale"/>
    <w:next w:val="Normale"/>
    <w:uiPriority w:val="9"/>
    <w:semiHidden/>
    <w:unhideWhenUsed/>
    <w:qFormat/>
    <w:pPr>
      <w:keepNext/>
      <w:keepLines/>
      <w:spacing w:before="360" w:after="80"/>
      <w:outlineLvl w:val="1"/>
    </w:pPr>
    <w:rPr>
      <w:b/>
      <w:sz w:val="36"/>
      <w:szCs w:val="3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220" w:after="40"/>
      <w:outlineLvl w:val="4"/>
    </w:pPr>
    <w:rPr>
      <w:b/>
      <w:sz w:val="22"/>
      <w:szCs w:val="22"/>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character" w:styleId="Rimandocommento">
    <w:name w:val="annotation reference"/>
    <w:rPr>
      <w:w w:val="100"/>
      <w:position w:val="-1"/>
      <w:sz w:val="16"/>
      <w:szCs w:val="16"/>
      <w:effect w:val="none"/>
      <w:vertAlign w:val="baseline"/>
      <w:cs w:val="0"/>
      <w:em w:val="none"/>
    </w:rPr>
  </w:style>
  <w:style w:type="paragraph" w:styleId="Testocommento">
    <w:name w:val="annotation text"/>
    <w:basedOn w:val="Normale"/>
    <w:rPr>
      <w:sz w:val="20"/>
      <w:szCs w:val="20"/>
    </w:rPr>
  </w:style>
  <w:style w:type="paragraph" w:styleId="Soggettocommento">
    <w:name w:val="annotation subject"/>
    <w:basedOn w:val="Testocommento"/>
    <w:next w:val="Testocommento"/>
    <w:rPr>
      <w:b/>
      <w:bCs/>
    </w:rPr>
  </w:style>
  <w:style w:type="paragraph" w:styleId="Testofumetto">
    <w:name w:val="Balloon Text"/>
    <w:basedOn w:val="Normale"/>
    <w:rPr>
      <w:rFonts w:ascii="Tahoma" w:hAnsi="Tahoma" w:cs="Tahoma"/>
      <w:sz w:val="16"/>
      <w:szCs w:val="16"/>
    </w:rPr>
  </w:style>
  <w:style w:type="table" w:customStyle="1" w:styleId="TableNormal0">
    <w:name w:val="Table Normal"/>
    <w:next w:val="TableNormal"/>
    <w:pPr>
      <w:suppressAutoHyphens/>
      <w:spacing w:line="1" w:lineRule="atLeast"/>
      <w:ind w:leftChars="-1" w:left="-1" w:hangingChars="1" w:hanging="1"/>
      <w:textDirection w:val="btLr"/>
      <w:textAlignment w:val="top"/>
      <w:outlineLvl w:val="0"/>
    </w:pPr>
    <w:rPr>
      <w:position w:val="-1"/>
    </w:rPr>
    <w:tblPr>
      <w:tblCellMar>
        <w:top w:w="0" w:type="dxa"/>
        <w:left w:w="0" w:type="dxa"/>
        <w:bottom w:w="0" w:type="dxa"/>
        <w:right w:w="0" w:type="dxa"/>
      </w:tblCellMar>
    </w:tbl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whFqMvbSut/X0bghcjv6IRiu5/g==">CgMxLjA4AHIhMTBrdnZ1ZzRPaWMwSFFvSmZaOUc5UE1CV29BaUhWbjVM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480</Words>
  <Characters>2738</Characters>
  <Application>Microsoft Office Word</Application>
  <DocSecurity>0</DocSecurity>
  <Lines>22</Lines>
  <Paragraphs>6</Paragraphs>
  <ScaleCrop>false</ScaleCrop>
  <Company/>
  <LinksUpToDate>false</LinksUpToDate>
  <CharactersWithSpaces>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Consiglio Regionale</dc:creator>
  <cp:lastModifiedBy>Muscarà Maria</cp:lastModifiedBy>
  <cp:revision>3</cp:revision>
  <dcterms:created xsi:type="dcterms:W3CDTF">2016-06-09T10:33:00Z</dcterms:created>
  <dcterms:modified xsi:type="dcterms:W3CDTF">2023-10-25T14:09:00Z</dcterms:modified>
</cp:coreProperties>
</file>