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F1F89" w14:textId="77777777" w:rsidR="00855A6A" w:rsidRDefault="004C62F6" w:rsidP="008326E6">
      <w:pPr>
        <w:jc w:val="center"/>
        <w:rPr>
          <w:b/>
          <w:bCs/>
          <w:sz w:val="32"/>
          <w:szCs w:val="32"/>
        </w:rPr>
      </w:pPr>
      <w:r w:rsidRPr="004C62F6">
        <w:rPr>
          <w:b/>
          <w:bCs/>
          <w:sz w:val="32"/>
          <w:szCs w:val="32"/>
        </w:rPr>
        <w:t>SCHEDA AIR</w:t>
      </w:r>
    </w:p>
    <w:p w14:paraId="163771E6" w14:textId="132E96E2" w:rsidR="00B2453E" w:rsidRDefault="004C62F6" w:rsidP="008326E6">
      <w:pPr>
        <w:jc w:val="center"/>
        <w:rPr>
          <w:b/>
          <w:bCs/>
          <w:sz w:val="32"/>
          <w:szCs w:val="32"/>
        </w:rPr>
      </w:pPr>
      <w:r w:rsidRPr="004C62F6">
        <w:rPr>
          <w:b/>
          <w:bCs/>
          <w:sz w:val="32"/>
          <w:szCs w:val="32"/>
        </w:rPr>
        <w:t>ANALISI DI IMPATTO DELLA REGOLAMENTAZIONE</w:t>
      </w:r>
    </w:p>
    <w:tbl>
      <w:tblPr>
        <w:tblStyle w:val="Grigliatabella"/>
        <w:tblpPr w:leftFromText="141" w:rightFromText="141" w:vertAnchor="page" w:horzAnchor="margin" w:tblpY="2671"/>
        <w:tblW w:w="8926" w:type="dxa"/>
        <w:tblLook w:val="04A0" w:firstRow="1" w:lastRow="0" w:firstColumn="1" w:lastColumn="0" w:noHBand="0" w:noVBand="1"/>
      </w:tblPr>
      <w:tblGrid>
        <w:gridCol w:w="2694"/>
        <w:gridCol w:w="6232"/>
      </w:tblGrid>
      <w:tr w:rsidR="0073715F" w14:paraId="33B1EF96" w14:textId="77777777" w:rsidTr="004D78DE">
        <w:tc>
          <w:tcPr>
            <w:tcW w:w="2694" w:type="dxa"/>
          </w:tcPr>
          <w:p w14:paraId="26AB37F8" w14:textId="77777777" w:rsidR="0073715F" w:rsidRPr="00F23185" w:rsidRDefault="0073715F" w:rsidP="0073715F">
            <w:pPr>
              <w:jc w:val="center"/>
              <w:rPr>
                <w:b/>
                <w:bCs/>
                <w:sz w:val="28"/>
                <w:szCs w:val="28"/>
              </w:rPr>
            </w:pPr>
            <w:r w:rsidRPr="00F23185">
              <w:rPr>
                <w:b/>
                <w:bCs/>
                <w:sz w:val="28"/>
                <w:szCs w:val="28"/>
              </w:rPr>
              <w:t>SEZIONI</w:t>
            </w:r>
          </w:p>
        </w:tc>
        <w:tc>
          <w:tcPr>
            <w:tcW w:w="6232" w:type="dxa"/>
          </w:tcPr>
          <w:p w14:paraId="118EF0A0" w14:textId="77777777" w:rsidR="0073715F" w:rsidRPr="00F23185" w:rsidRDefault="0073715F" w:rsidP="0073715F">
            <w:pPr>
              <w:jc w:val="center"/>
              <w:rPr>
                <w:b/>
                <w:bCs/>
                <w:sz w:val="28"/>
                <w:szCs w:val="28"/>
              </w:rPr>
            </w:pPr>
            <w:r w:rsidRPr="00F23185">
              <w:rPr>
                <w:b/>
                <w:bCs/>
                <w:sz w:val="28"/>
                <w:szCs w:val="28"/>
              </w:rPr>
              <w:t>CONTENUTI</w:t>
            </w:r>
          </w:p>
        </w:tc>
      </w:tr>
      <w:tr w:rsidR="0073715F" w14:paraId="43401046" w14:textId="77777777" w:rsidTr="004D78DE">
        <w:trPr>
          <w:trHeight w:val="11689"/>
        </w:trPr>
        <w:tc>
          <w:tcPr>
            <w:tcW w:w="2694" w:type="dxa"/>
          </w:tcPr>
          <w:p w14:paraId="4C410F94" w14:textId="77777777" w:rsidR="0073715F" w:rsidRPr="00716583" w:rsidRDefault="0073715F" w:rsidP="0073715F">
            <w:pPr>
              <w:jc w:val="center"/>
              <w:rPr>
                <w:rFonts w:ascii="Times New Roman" w:hAnsi="Times New Roman" w:cs="Times New Roman"/>
                <w:i/>
                <w:iCs/>
              </w:rPr>
            </w:pPr>
            <w:r w:rsidRPr="00716583">
              <w:rPr>
                <w:rFonts w:ascii="Times New Roman" w:hAnsi="Times New Roman" w:cs="Times New Roman"/>
                <w:i/>
                <w:iCs/>
                <w:sz w:val="20"/>
                <w:szCs w:val="20"/>
              </w:rPr>
              <w:t>Sezione 1 - Contesto e obiettivi dell’intervento di regolamentazione</w:t>
            </w:r>
          </w:p>
        </w:tc>
        <w:tc>
          <w:tcPr>
            <w:tcW w:w="6232" w:type="dxa"/>
          </w:tcPr>
          <w:p w14:paraId="6DE51BB7" w14:textId="77777777" w:rsidR="00042161" w:rsidRPr="00042161" w:rsidRDefault="00042161" w:rsidP="00042161">
            <w:pPr>
              <w:spacing w:after="100"/>
              <w:jc w:val="both"/>
              <w:rPr>
                <w:rFonts w:ascii="Times New Roman" w:hAnsi="Times New Roman" w:cs="Times New Roman"/>
                <w:sz w:val="20"/>
                <w:szCs w:val="20"/>
              </w:rPr>
            </w:pPr>
            <w:r w:rsidRPr="00042161">
              <w:rPr>
                <w:rFonts w:ascii="Times New Roman" w:hAnsi="Times New Roman" w:cs="Times New Roman"/>
                <w:sz w:val="20"/>
                <w:szCs w:val="20"/>
              </w:rPr>
              <w:t>Il Ministero della Transizione Ecologica, di concerto con il Ministero della Cultura e previa intesa in sede di Conferenza unificata, ha emanato il 20 ottobre 2022 il Decreto, pubblicato nella G.U. del 30 dicembre 2022, n. 304, recante le “Linee guida nazionali per la semplificazione dei procedimenti autorizzativi riguardanti la costruzione e l’esercizio delle infrastrutture appartenenti alla rete di distribuzione”.</w:t>
            </w:r>
          </w:p>
          <w:p w14:paraId="0965261B" w14:textId="77777777" w:rsidR="00042161" w:rsidRPr="00042161" w:rsidRDefault="00042161" w:rsidP="00042161">
            <w:pPr>
              <w:spacing w:after="100"/>
              <w:jc w:val="both"/>
              <w:rPr>
                <w:rFonts w:ascii="Times New Roman" w:hAnsi="Times New Roman" w:cs="Times New Roman"/>
                <w:sz w:val="20"/>
                <w:szCs w:val="20"/>
              </w:rPr>
            </w:pPr>
            <w:r w:rsidRPr="00042161">
              <w:rPr>
                <w:rFonts w:ascii="Times New Roman" w:hAnsi="Times New Roman" w:cs="Times New Roman"/>
                <w:sz w:val="20"/>
                <w:szCs w:val="20"/>
              </w:rPr>
              <w:t xml:space="preserve">All’art. 7, co. 1, del suddetto Decreto (più oltre anche solo LLGNN), è previsto che le Regioni “qualora necessario, adeguano le rispettive discipline entro centottanta giorni dalla data di entrata in vigore delle presenti linee guida. Decorso inutilmente il </w:t>
            </w:r>
            <w:proofErr w:type="gramStart"/>
            <w:r w:rsidRPr="00042161">
              <w:rPr>
                <w:rFonts w:ascii="Times New Roman" w:hAnsi="Times New Roman" w:cs="Times New Roman"/>
                <w:sz w:val="20"/>
                <w:szCs w:val="20"/>
              </w:rPr>
              <w:t>predetto</w:t>
            </w:r>
            <w:proofErr w:type="gramEnd"/>
            <w:r w:rsidRPr="00042161">
              <w:rPr>
                <w:rFonts w:ascii="Times New Roman" w:hAnsi="Times New Roman" w:cs="Times New Roman"/>
                <w:sz w:val="20"/>
                <w:szCs w:val="20"/>
              </w:rPr>
              <w:t xml:space="preserve"> termine, le presenti linee guida si applicano ai nuovi procedimenti.”.</w:t>
            </w:r>
          </w:p>
          <w:p w14:paraId="08739F92" w14:textId="77777777" w:rsidR="00042161" w:rsidRPr="00042161" w:rsidRDefault="00042161" w:rsidP="00042161">
            <w:pPr>
              <w:spacing w:after="100"/>
              <w:jc w:val="both"/>
              <w:rPr>
                <w:rFonts w:ascii="Times New Roman" w:hAnsi="Times New Roman" w:cs="Times New Roman"/>
                <w:sz w:val="20"/>
                <w:szCs w:val="20"/>
              </w:rPr>
            </w:pPr>
            <w:r w:rsidRPr="00042161">
              <w:rPr>
                <w:rFonts w:ascii="Times New Roman" w:hAnsi="Times New Roman" w:cs="Times New Roman"/>
                <w:sz w:val="20"/>
                <w:szCs w:val="20"/>
              </w:rPr>
              <w:t xml:space="preserve">Al fine di orientare l’attività legislativa regionale, in materia concorrente, indotta dall’entrata in vigore delle LLGNN, il decreto stabilisce, al secondo comma dell’art. 7, che “Resta ferma la validità ed efficacia di eventuali disposizioni più favorevoli contenute nelle leggi regionali e provinciali che disciplinano l’autorizzazione alla costruzione ed esercizio di reti ed impianti di distribuzione anche tramite attività libera, limitatamente agli interventi </w:t>
            </w:r>
            <w:proofErr w:type="spellStart"/>
            <w:r w:rsidRPr="00042161">
              <w:rPr>
                <w:rFonts w:ascii="Times New Roman" w:hAnsi="Times New Roman" w:cs="Times New Roman"/>
                <w:sz w:val="20"/>
                <w:szCs w:val="20"/>
              </w:rPr>
              <w:t>assentibili</w:t>
            </w:r>
            <w:proofErr w:type="spellEnd"/>
            <w:r w:rsidRPr="00042161">
              <w:rPr>
                <w:rFonts w:ascii="Times New Roman" w:hAnsi="Times New Roman" w:cs="Times New Roman"/>
                <w:sz w:val="20"/>
                <w:szCs w:val="20"/>
              </w:rPr>
              <w:t xml:space="preserve"> mediante DIL o autocertificazione come previsti dalle presenti linee guida.”</w:t>
            </w:r>
          </w:p>
          <w:p w14:paraId="56BD5BA3" w14:textId="77777777" w:rsidR="00042161" w:rsidRPr="00042161" w:rsidRDefault="00042161" w:rsidP="00042161">
            <w:pPr>
              <w:spacing w:after="100"/>
              <w:jc w:val="both"/>
              <w:rPr>
                <w:rFonts w:ascii="Times New Roman" w:hAnsi="Times New Roman" w:cs="Times New Roman"/>
                <w:sz w:val="20"/>
                <w:szCs w:val="20"/>
              </w:rPr>
            </w:pPr>
            <w:r w:rsidRPr="00042161">
              <w:rPr>
                <w:rFonts w:ascii="Times New Roman" w:hAnsi="Times New Roman" w:cs="Times New Roman"/>
                <w:sz w:val="20"/>
                <w:szCs w:val="20"/>
              </w:rPr>
              <w:t>L’art. 7, u.co., delle LLGNN, infine, detta una norma transitoria, rimettendo alla facoltà del gestore la riproposizione delle istanze pendenti in coerenza con la nuova disciplina prevista dal Decreto ministeriale.</w:t>
            </w:r>
          </w:p>
          <w:p w14:paraId="4614D0DE" w14:textId="77777777" w:rsidR="00042161" w:rsidRDefault="00042161" w:rsidP="00042161">
            <w:pPr>
              <w:widowControl w:val="0"/>
              <w:spacing w:after="100"/>
              <w:jc w:val="both"/>
              <w:rPr>
                <w:rFonts w:ascii="Times New Roman" w:hAnsi="Times New Roman" w:cs="Times New Roman"/>
                <w:sz w:val="20"/>
                <w:szCs w:val="20"/>
              </w:rPr>
            </w:pPr>
            <w:r w:rsidRPr="00042161">
              <w:rPr>
                <w:rFonts w:ascii="Times New Roman" w:hAnsi="Times New Roman" w:cs="Times New Roman"/>
                <w:sz w:val="20"/>
                <w:szCs w:val="20"/>
              </w:rPr>
              <w:t>In Campania l’attività di costruzione, manutenzione ed esercizio delle reti di distribuzione è disciplinata dalla Legge regionale 22 giugno 2017 n°16 (“Norme in materia di autorizzazione alla costruzione ed esercizio di linee e impianti elettrici con tensione non facenti parte della rete di trasmissione nazionale”). La legge regionale è stata emanata nel quadro della normazione concorrente nella materia energia e costituisce un corpo normativo organico che, rispetto a molti degli istituti disciplinati nelle LLGNN, è stata antesignana di queste ultime.</w:t>
            </w:r>
          </w:p>
          <w:p w14:paraId="39714D83" w14:textId="279DB682" w:rsidR="00042161" w:rsidRPr="00042161" w:rsidRDefault="00042161" w:rsidP="00042161">
            <w:pPr>
              <w:widowControl w:val="0"/>
              <w:spacing w:after="100"/>
              <w:jc w:val="both"/>
              <w:rPr>
                <w:rFonts w:ascii="Times New Roman" w:hAnsi="Times New Roman" w:cs="Times New Roman"/>
                <w:sz w:val="20"/>
                <w:szCs w:val="20"/>
              </w:rPr>
            </w:pPr>
            <w:r w:rsidRPr="00042161">
              <w:rPr>
                <w:rFonts w:ascii="Times New Roman" w:hAnsi="Times New Roman" w:cs="Times New Roman"/>
                <w:sz w:val="20"/>
                <w:szCs w:val="20"/>
              </w:rPr>
              <w:t>Ciononostante, nel rispetto del principio di leale collaborazione con lo Stato, è onere del Legislatore regionale svolgere una valutazione comparativa che, nell’esercizio della funzione legislativa, quale disegnata dall’art. 117 della costituzione e dalle norme transitorie dello stesso DM, stabilisca la coerenza della normativa regionale con i principi delineati nelle LLGNN e con le procedure amministrative in queste disciplinate, individuando altresì quelle disposizioni in deroga che superino il potenziale conflitto perché giudicabili come “disposizioni più favorevoli”.</w:t>
            </w:r>
          </w:p>
          <w:p w14:paraId="4AB77780" w14:textId="77777777" w:rsidR="00042161" w:rsidRPr="00042161" w:rsidRDefault="00042161" w:rsidP="00042161">
            <w:pPr>
              <w:widowControl w:val="0"/>
              <w:spacing w:after="100"/>
              <w:jc w:val="both"/>
              <w:rPr>
                <w:rFonts w:ascii="Times New Roman" w:hAnsi="Times New Roman" w:cs="Times New Roman"/>
                <w:sz w:val="20"/>
                <w:szCs w:val="20"/>
              </w:rPr>
            </w:pPr>
            <w:r w:rsidRPr="00042161">
              <w:rPr>
                <w:rFonts w:ascii="Times New Roman" w:hAnsi="Times New Roman" w:cs="Times New Roman"/>
                <w:sz w:val="20"/>
                <w:szCs w:val="20"/>
              </w:rPr>
              <w:t xml:space="preserve">Il processo di revisione della LR 16, dunque, non solo appare necessario, ma si profila utile per recepire o, meglio esplicitare alcuni principi e istituti amministrativi o iter procedimentali per effetto dei quali possa essere più chiaro all’operatore il quadro generale e applicativo della normativa di settore sulle reti elettriche, a partire già dal più esplicito inquadramento giuridico-urbanistico delle reti e impianti di distribuzione dell’energia elettrica espresso nelle LLGNN </w:t>
            </w:r>
          </w:p>
          <w:p w14:paraId="0149DEF4" w14:textId="77777777" w:rsidR="00716583" w:rsidRDefault="00716583" w:rsidP="0073715F">
            <w:pPr>
              <w:jc w:val="both"/>
              <w:rPr>
                <w:rFonts w:ascii="Times New Roman" w:hAnsi="Times New Roman" w:cs="Times New Roman"/>
                <w:sz w:val="20"/>
                <w:szCs w:val="20"/>
              </w:rPr>
            </w:pPr>
          </w:p>
          <w:p w14:paraId="76FF828B" w14:textId="486511C9" w:rsidR="0073715F" w:rsidRPr="00042161" w:rsidRDefault="0073715F" w:rsidP="00883357">
            <w:pPr>
              <w:jc w:val="both"/>
              <w:rPr>
                <w:rFonts w:ascii="Times New Roman" w:hAnsi="Times New Roman" w:cs="Times New Roman"/>
                <w:sz w:val="20"/>
                <w:szCs w:val="20"/>
              </w:rPr>
            </w:pPr>
          </w:p>
        </w:tc>
      </w:tr>
    </w:tbl>
    <w:p w14:paraId="5C1B639C" w14:textId="77777777" w:rsidR="0073715F" w:rsidRDefault="0073715F" w:rsidP="008326E6">
      <w:pPr>
        <w:jc w:val="center"/>
        <w:rPr>
          <w:b/>
          <w:bCs/>
          <w:sz w:val="32"/>
          <w:szCs w:val="32"/>
        </w:rPr>
      </w:pPr>
    </w:p>
    <w:tbl>
      <w:tblPr>
        <w:tblW w:w="9644" w:type="dxa"/>
        <w:tblInd w:w="-5" w:type="dxa"/>
        <w:tblLayout w:type="fixed"/>
        <w:tblCellMar>
          <w:left w:w="0" w:type="dxa"/>
          <w:right w:w="0" w:type="dxa"/>
        </w:tblCellMar>
        <w:tblLook w:val="0000" w:firstRow="0" w:lastRow="0" w:firstColumn="0" w:lastColumn="0" w:noHBand="0" w:noVBand="0"/>
      </w:tblPr>
      <w:tblGrid>
        <w:gridCol w:w="2838"/>
        <w:gridCol w:w="6806"/>
      </w:tblGrid>
      <w:tr w:rsidR="00440C99" w:rsidRPr="00440C99" w14:paraId="36A66007" w14:textId="77777777" w:rsidTr="002F0045">
        <w:trPr>
          <w:trHeight w:val="1781"/>
        </w:trPr>
        <w:tc>
          <w:tcPr>
            <w:tcW w:w="2837" w:type="dxa"/>
            <w:tcBorders>
              <w:top w:val="single" w:sz="4" w:space="0" w:color="auto"/>
              <w:left w:val="single" w:sz="4" w:space="0" w:color="auto"/>
              <w:bottom w:val="single" w:sz="4" w:space="0" w:color="auto"/>
              <w:right w:val="single" w:sz="4" w:space="0" w:color="auto"/>
            </w:tcBorders>
            <w:shd w:val="clear" w:color="auto" w:fill="FFFFFF"/>
          </w:tcPr>
          <w:p w14:paraId="6A2DB857" w14:textId="77777777" w:rsidR="00440C99" w:rsidRPr="00440C99" w:rsidRDefault="00440C99" w:rsidP="00440C99">
            <w:pPr>
              <w:spacing w:after="0" w:line="254" w:lineRule="exact"/>
              <w:ind w:right="300"/>
              <w:jc w:val="right"/>
              <w:rPr>
                <w:rFonts w:ascii="Times New Roman" w:eastAsia="Times New Roman" w:hAnsi="Times New Roman" w:cs="Times New Roman"/>
                <w:i/>
                <w:iCs/>
                <w:kern w:val="0"/>
                <w:sz w:val="20"/>
                <w:szCs w:val="20"/>
                <w:lang w:eastAsia="it-IT"/>
                <w14:ligatures w14:val="none"/>
              </w:rPr>
            </w:pPr>
            <w:r w:rsidRPr="00440C99">
              <w:rPr>
                <w:rFonts w:ascii="Times New Roman" w:eastAsia="Times New Roman" w:hAnsi="Times New Roman" w:cs="Times New Roman"/>
                <w:i/>
                <w:iCs/>
                <w:kern w:val="0"/>
                <w:sz w:val="20"/>
                <w:szCs w:val="20"/>
                <w:lang w:eastAsia="it-IT"/>
                <w14:ligatures w14:val="none"/>
              </w:rPr>
              <w:lastRenderedPageBreak/>
              <w:t>Sezione 2 - Procedure di consultazione precedenti l'intervento</w:t>
            </w:r>
          </w:p>
        </w:tc>
        <w:tc>
          <w:tcPr>
            <w:tcW w:w="6802" w:type="dxa"/>
            <w:tcBorders>
              <w:top w:val="single" w:sz="4" w:space="0" w:color="auto"/>
              <w:left w:val="single" w:sz="4" w:space="0" w:color="auto"/>
              <w:bottom w:val="single" w:sz="4" w:space="0" w:color="auto"/>
              <w:right w:val="single" w:sz="4" w:space="0" w:color="auto"/>
            </w:tcBorders>
            <w:shd w:val="clear" w:color="auto" w:fill="FFFFFF"/>
          </w:tcPr>
          <w:p w14:paraId="7705DAC3" w14:textId="77777777" w:rsidR="00440C99" w:rsidRPr="00440C99" w:rsidRDefault="00440C99" w:rsidP="00440C99">
            <w:pPr>
              <w:spacing w:after="0" w:line="250" w:lineRule="exact"/>
              <w:jc w:val="both"/>
              <w:rPr>
                <w:rFonts w:ascii="Times New Roman" w:eastAsia="Times New Roman" w:hAnsi="Times New Roman" w:cs="Times New Roman"/>
                <w:kern w:val="0"/>
                <w:sz w:val="20"/>
                <w:szCs w:val="20"/>
                <w:lang w:eastAsia="it-IT"/>
                <w14:ligatures w14:val="none"/>
              </w:rPr>
            </w:pPr>
            <w:r w:rsidRPr="00440C99">
              <w:rPr>
                <w:rFonts w:ascii="Times New Roman" w:eastAsia="Times New Roman" w:hAnsi="Times New Roman" w:cs="Times New Roman"/>
                <w:kern w:val="0"/>
                <w:sz w:val="20"/>
                <w:szCs w:val="20"/>
                <w:lang w:eastAsia="it-IT"/>
                <w14:ligatures w14:val="none"/>
              </w:rPr>
              <w:t>La presente proposta di legge è frutto di confronti e consultazioni con aziende di livello nazionale, dirigenti della Regione Campanaia ed istituzioni pubbliche, attraverso dibatti e confronti. Ulteriori e specifiche consultazioni formali verranno programmate nel lavoro di approfondimento ed analisi da parte delle eventuali commissioni assegnatarie della proposta.</w:t>
            </w:r>
          </w:p>
        </w:tc>
      </w:tr>
      <w:tr w:rsidR="00440C99" w:rsidRPr="00440C99" w14:paraId="444CDD02" w14:textId="77777777" w:rsidTr="002F0045">
        <w:trPr>
          <w:trHeight w:val="1526"/>
        </w:trPr>
        <w:tc>
          <w:tcPr>
            <w:tcW w:w="2837" w:type="dxa"/>
            <w:tcBorders>
              <w:top w:val="single" w:sz="4" w:space="0" w:color="auto"/>
              <w:left w:val="single" w:sz="4" w:space="0" w:color="auto"/>
              <w:bottom w:val="single" w:sz="4" w:space="0" w:color="auto"/>
              <w:right w:val="single" w:sz="4" w:space="0" w:color="auto"/>
            </w:tcBorders>
            <w:shd w:val="clear" w:color="auto" w:fill="FFFFFF"/>
          </w:tcPr>
          <w:p w14:paraId="27BEC9AE" w14:textId="77777777" w:rsidR="00440C99" w:rsidRPr="00440C99" w:rsidRDefault="00440C99" w:rsidP="00440C99">
            <w:pPr>
              <w:spacing w:after="0" w:line="250" w:lineRule="exact"/>
              <w:ind w:right="300"/>
              <w:jc w:val="right"/>
              <w:rPr>
                <w:rFonts w:ascii="Times New Roman" w:eastAsia="Times New Roman" w:hAnsi="Times New Roman" w:cs="Times New Roman"/>
                <w:i/>
                <w:iCs/>
                <w:kern w:val="0"/>
                <w:sz w:val="20"/>
                <w:szCs w:val="20"/>
                <w:lang w:eastAsia="it-IT"/>
                <w14:ligatures w14:val="none"/>
              </w:rPr>
            </w:pPr>
            <w:r w:rsidRPr="00440C99">
              <w:rPr>
                <w:rFonts w:ascii="Times New Roman" w:eastAsia="Times New Roman" w:hAnsi="Times New Roman" w:cs="Times New Roman"/>
                <w:i/>
                <w:iCs/>
                <w:kern w:val="0"/>
                <w:sz w:val="20"/>
                <w:szCs w:val="20"/>
                <w:lang w:eastAsia="it-IT"/>
                <w14:ligatures w14:val="none"/>
              </w:rPr>
              <w:t>Sezione 3 - Valutazione dell'opzione di non intervento di regolamentazione (opzione zero)</w:t>
            </w:r>
          </w:p>
        </w:tc>
        <w:tc>
          <w:tcPr>
            <w:tcW w:w="6802" w:type="dxa"/>
            <w:tcBorders>
              <w:top w:val="single" w:sz="4" w:space="0" w:color="auto"/>
              <w:left w:val="single" w:sz="4" w:space="0" w:color="auto"/>
              <w:bottom w:val="single" w:sz="4" w:space="0" w:color="auto"/>
              <w:right w:val="single" w:sz="4" w:space="0" w:color="auto"/>
            </w:tcBorders>
            <w:shd w:val="clear" w:color="auto" w:fill="FFFFFF"/>
          </w:tcPr>
          <w:p w14:paraId="5D4BE995" w14:textId="77777777" w:rsidR="00440C99" w:rsidRPr="00440C99" w:rsidRDefault="00440C99" w:rsidP="00440C99">
            <w:pPr>
              <w:widowControl w:val="0"/>
              <w:spacing w:after="100" w:line="240" w:lineRule="auto"/>
              <w:jc w:val="both"/>
              <w:rPr>
                <w:rFonts w:ascii="Times New Roman" w:eastAsia="Times New Roman" w:hAnsi="Times New Roman" w:cs="Times New Roman"/>
                <w:kern w:val="0"/>
                <w:sz w:val="20"/>
                <w:szCs w:val="20"/>
                <w:lang w:eastAsia="it-IT"/>
                <w14:ligatures w14:val="none"/>
              </w:rPr>
            </w:pPr>
            <w:r w:rsidRPr="00440C99">
              <w:rPr>
                <w:rFonts w:ascii="Times New Roman" w:eastAsia="Times New Roman" w:hAnsi="Times New Roman" w:cs="Times New Roman"/>
                <w:kern w:val="0"/>
                <w:sz w:val="20"/>
                <w:szCs w:val="20"/>
                <w:lang w:eastAsia="it-IT"/>
                <w14:ligatures w14:val="none"/>
              </w:rPr>
              <w:t xml:space="preserve">Il processo di revisione della LR 16, dunque, non solo appare necessario, ma si profila utile per recepire o, meglio esplicitare alcuni principi e istituti amministrativi o iter procedimentali per effetto dei quali possa essere più chiaro all’operatore il quadro generale e applicativo della normativa di settore sulle reti elettriche, a partire già dal più esplicito inquadramento giuridico-urbanistico delle reti e impianti di distribuzione dell’energia elettrica espresso nelle LLGNN </w:t>
            </w:r>
          </w:p>
        </w:tc>
      </w:tr>
      <w:tr w:rsidR="00440C99" w:rsidRPr="00440C99" w14:paraId="6CD9159D" w14:textId="77777777" w:rsidTr="002F0045">
        <w:trPr>
          <w:trHeight w:val="1018"/>
        </w:trPr>
        <w:tc>
          <w:tcPr>
            <w:tcW w:w="2837" w:type="dxa"/>
            <w:tcBorders>
              <w:top w:val="single" w:sz="4" w:space="0" w:color="auto"/>
              <w:left w:val="single" w:sz="4" w:space="0" w:color="auto"/>
              <w:bottom w:val="single" w:sz="4" w:space="0" w:color="auto"/>
              <w:right w:val="single" w:sz="4" w:space="0" w:color="auto"/>
            </w:tcBorders>
            <w:shd w:val="clear" w:color="auto" w:fill="FFFFFF"/>
          </w:tcPr>
          <w:p w14:paraId="53C7746F" w14:textId="77777777" w:rsidR="00440C99" w:rsidRPr="00440C99" w:rsidRDefault="00440C99" w:rsidP="00440C99">
            <w:pPr>
              <w:spacing w:after="0" w:line="250" w:lineRule="exact"/>
              <w:ind w:right="300"/>
              <w:jc w:val="right"/>
              <w:rPr>
                <w:rFonts w:ascii="Times New Roman" w:eastAsia="Times New Roman" w:hAnsi="Times New Roman" w:cs="Times New Roman"/>
                <w:i/>
                <w:iCs/>
                <w:kern w:val="0"/>
                <w:sz w:val="20"/>
                <w:szCs w:val="20"/>
                <w:lang w:eastAsia="it-IT"/>
                <w14:ligatures w14:val="none"/>
              </w:rPr>
            </w:pPr>
            <w:r w:rsidRPr="00440C99">
              <w:rPr>
                <w:rFonts w:ascii="Times New Roman" w:eastAsia="Times New Roman" w:hAnsi="Times New Roman" w:cs="Times New Roman"/>
                <w:i/>
                <w:iCs/>
                <w:kern w:val="0"/>
                <w:sz w:val="20"/>
                <w:szCs w:val="20"/>
                <w:lang w:eastAsia="it-IT"/>
                <w14:ligatures w14:val="none"/>
              </w:rPr>
              <w:t xml:space="preserve">Sezione 4 - </w:t>
            </w:r>
            <w:proofErr w:type="gramStart"/>
            <w:r w:rsidRPr="00440C99">
              <w:rPr>
                <w:rFonts w:ascii="Times New Roman" w:eastAsia="Times New Roman" w:hAnsi="Times New Roman" w:cs="Times New Roman"/>
                <w:i/>
                <w:iCs/>
                <w:kern w:val="0"/>
                <w:sz w:val="20"/>
                <w:szCs w:val="20"/>
                <w:lang w:eastAsia="it-IT"/>
                <w14:ligatures w14:val="none"/>
              </w:rPr>
              <w:t>Opzioni alternative</w:t>
            </w:r>
            <w:proofErr w:type="gramEnd"/>
            <w:r w:rsidRPr="00440C99">
              <w:rPr>
                <w:rFonts w:ascii="Times New Roman" w:eastAsia="Times New Roman" w:hAnsi="Times New Roman" w:cs="Times New Roman"/>
                <w:i/>
                <w:iCs/>
                <w:kern w:val="0"/>
                <w:sz w:val="20"/>
                <w:szCs w:val="20"/>
                <w:lang w:eastAsia="it-IT"/>
                <w14:ligatures w14:val="none"/>
              </w:rPr>
              <w:t xml:space="preserve"> all'intervento regolatorio</w:t>
            </w:r>
          </w:p>
        </w:tc>
        <w:tc>
          <w:tcPr>
            <w:tcW w:w="6802" w:type="dxa"/>
            <w:tcBorders>
              <w:top w:val="single" w:sz="4" w:space="0" w:color="auto"/>
              <w:left w:val="single" w:sz="4" w:space="0" w:color="auto"/>
              <w:bottom w:val="single" w:sz="4" w:space="0" w:color="auto"/>
              <w:right w:val="single" w:sz="4" w:space="0" w:color="auto"/>
            </w:tcBorders>
            <w:shd w:val="clear" w:color="auto" w:fill="FFFFFF"/>
          </w:tcPr>
          <w:p w14:paraId="25CAB6F2" w14:textId="77777777" w:rsidR="00440C99" w:rsidRPr="00440C99" w:rsidRDefault="00440C99" w:rsidP="00440C99">
            <w:pPr>
              <w:spacing w:after="0" w:line="250" w:lineRule="exact"/>
              <w:jc w:val="both"/>
              <w:rPr>
                <w:rFonts w:ascii="Times New Roman" w:eastAsia="Times New Roman" w:hAnsi="Times New Roman" w:cs="Times New Roman"/>
                <w:kern w:val="0"/>
                <w:sz w:val="20"/>
                <w:szCs w:val="20"/>
                <w:lang w:eastAsia="it-IT"/>
                <w14:ligatures w14:val="none"/>
              </w:rPr>
            </w:pPr>
            <w:r w:rsidRPr="00440C99">
              <w:rPr>
                <w:rFonts w:ascii="Times New Roman" w:eastAsia="Times New Roman" w:hAnsi="Times New Roman" w:cs="Times New Roman"/>
                <w:kern w:val="0"/>
                <w:sz w:val="20"/>
                <w:szCs w:val="20"/>
                <w:lang w:eastAsia="it-IT"/>
                <w14:ligatures w14:val="none"/>
              </w:rPr>
              <w:t xml:space="preserve">Al momento non sono state considerate </w:t>
            </w:r>
            <w:proofErr w:type="gramStart"/>
            <w:r w:rsidRPr="00440C99">
              <w:rPr>
                <w:rFonts w:ascii="Times New Roman" w:eastAsia="Times New Roman" w:hAnsi="Times New Roman" w:cs="Times New Roman"/>
                <w:kern w:val="0"/>
                <w:sz w:val="20"/>
                <w:szCs w:val="20"/>
                <w:lang w:eastAsia="it-IT"/>
                <w14:ligatures w14:val="none"/>
              </w:rPr>
              <w:t>opzioni alternative</w:t>
            </w:r>
            <w:proofErr w:type="gramEnd"/>
            <w:r w:rsidRPr="00440C99">
              <w:rPr>
                <w:rFonts w:ascii="Times New Roman" w:eastAsia="Times New Roman" w:hAnsi="Times New Roman" w:cs="Times New Roman"/>
                <w:kern w:val="0"/>
                <w:sz w:val="20"/>
                <w:szCs w:val="20"/>
                <w:lang w:eastAsia="it-IT"/>
                <w14:ligatures w14:val="none"/>
              </w:rPr>
              <w:t xml:space="preserve"> di intervento; eventuali proposte potranno emergere ed essere valutate in fase di approfondimento ed analisi del provvedimento.</w:t>
            </w:r>
          </w:p>
        </w:tc>
      </w:tr>
      <w:tr w:rsidR="00440C99" w:rsidRPr="00440C99" w14:paraId="15D2F157" w14:textId="77777777" w:rsidTr="002F0045">
        <w:trPr>
          <w:trHeight w:val="1781"/>
        </w:trPr>
        <w:tc>
          <w:tcPr>
            <w:tcW w:w="2837" w:type="dxa"/>
            <w:tcBorders>
              <w:top w:val="single" w:sz="4" w:space="0" w:color="auto"/>
              <w:left w:val="single" w:sz="4" w:space="0" w:color="auto"/>
              <w:bottom w:val="single" w:sz="4" w:space="0" w:color="auto"/>
              <w:right w:val="single" w:sz="4" w:space="0" w:color="auto"/>
            </w:tcBorders>
            <w:shd w:val="clear" w:color="auto" w:fill="FFFFFF"/>
          </w:tcPr>
          <w:p w14:paraId="5F1F0E9C" w14:textId="77777777" w:rsidR="00440C99" w:rsidRPr="00440C99" w:rsidRDefault="00440C99" w:rsidP="00440C99">
            <w:pPr>
              <w:spacing w:after="0" w:line="250" w:lineRule="exact"/>
              <w:ind w:right="300"/>
              <w:jc w:val="right"/>
              <w:rPr>
                <w:rFonts w:ascii="Times New Roman" w:eastAsia="Times New Roman" w:hAnsi="Times New Roman" w:cs="Times New Roman"/>
                <w:i/>
                <w:iCs/>
                <w:kern w:val="0"/>
                <w:sz w:val="20"/>
                <w:szCs w:val="20"/>
                <w:lang w:eastAsia="it-IT"/>
                <w14:ligatures w14:val="none"/>
              </w:rPr>
            </w:pPr>
            <w:r w:rsidRPr="00440C99">
              <w:rPr>
                <w:rFonts w:ascii="Times New Roman" w:eastAsia="Times New Roman" w:hAnsi="Times New Roman" w:cs="Times New Roman"/>
                <w:i/>
                <w:iCs/>
                <w:kern w:val="0"/>
                <w:sz w:val="20"/>
                <w:szCs w:val="20"/>
                <w:lang w:eastAsia="it-IT"/>
                <w14:ligatures w14:val="none"/>
              </w:rPr>
              <w:t xml:space="preserve">Sezione 5 - Giustificazione </w:t>
            </w:r>
            <w:proofErr w:type="spellStart"/>
            <w:r w:rsidRPr="00440C99">
              <w:rPr>
                <w:rFonts w:ascii="Times New Roman" w:eastAsia="Times New Roman" w:hAnsi="Times New Roman" w:cs="Times New Roman"/>
                <w:i/>
                <w:iCs/>
                <w:kern w:val="0"/>
                <w:sz w:val="20"/>
                <w:szCs w:val="20"/>
                <w:lang w:eastAsia="it-IT"/>
                <w14:ligatures w14:val="none"/>
              </w:rPr>
              <w:t>dell</w:t>
            </w:r>
            <w:proofErr w:type="spellEnd"/>
            <w:r w:rsidRPr="00440C99">
              <w:rPr>
                <w:rFonts w:ascii="Times New Roman" w:eastAsia="Times New Roman" w:hAnsi="Times New Roman" w:cs="Times New Roman"/>
                <w:i/>
                <w:iCs/>
                <w:kern w:val="0"/>
                <w:sz w:val="20"/>
                <w:szCs w:val="20"/>
                <w:lang w:eastAsia="it-IT"/>
                <w14:ligatures w14:val="none"/>
              </w:rPr>
              <w:t xml:space="preserve"> 'opzione regolatoria proposta e valutazione degli oneri amministrativi </w:t>
            </w:r>
          </w:p>
        </w:tc>
        <w:tc>
          <w:tcPr>
            <w:tcW w:w="6802" w:type="dxa"/>
            <w:tcBorders>
              <w:top w:val="single" w:sz="4" w:space="0" w:color="auto"/>
              <w:left w:val="single" w:sz="4" w:space="0" w:color="auto"/>
              <w:bottom w:val="single" w:sz="4" w:space="0" w:color="auto"/>
              <w:right w:val="single" w:sz="4" w:space="0" w:color="auto"/>
            </w:tcBorders>
            <w:shd w:val="clear" w:color="auto" w:fill="FFFFFF"/>
          </w:tcPr>
          <w:p w14:paraId="45806A23" w14:textId="77777777" w:rsidR="00440C99" w:rsidRPr="00440C99" w:rsidRDefault="00440C99" w:rsidP="00440C99">
            <w:pPr>
              <w:widowControl w:val="0"/>
              <w:spacing w:after="100" w:line="240" w:lineRule="auto"/>
              <w:jc w:val="both"/>
              <w:rPr>
                <w:rFonts w:ascii="Times New Roman" w:eastAsia="Times New Roman" w:hAnsi="Times New Roman" w:cs="Times New Roman"/>
                <w:kern w:val="0"/>
                <w:sz w:val="20"/>
                <w:szCs w:val="20"/>
                <w:lang w:eastAsia="it-IT"/>
                <w14:ligatures w14:val="none"/>
              </w:rPr>
            </w:pPr>
            <w:r w:rsidRPr="00440C99">
              <w:rPr>
                <w:rFonts w:ascii="Times New Roman" w:eastAsia="Times New Roman" w:hAnsi="Times New Roman" w:cs="Times New Roman"/>
                <w:kern w:val="0"/>
                <w:sz w:val="20"/>
                <w:szCs w:val="20"/>
                <w:lang w:eastAsia="it-IT"/>
                <w14:ligatures w14:val="none"/>
              </w:rPr>
              <w:t>nel rispetto del principio di leale collaborazione con lo Stato, è onere del Legislatore regionale svolgere una valutazione comparativa che, nell’esercizio della funzione legislativa, quale disegnata dall’art. 117 della costituzione e dalle norme transitorie dello stesso DM, stabilisca la coerenza della normativa regionale con i principi delineati nelle LLGNN e con le procedure amministrative in queste disciplinate, individuando altresì quelle disposizioni in deroga che superino il potenziale conflitto perché giudicabili come “disposizioni più favorevoli”.</w:t>
            </w:r>
          </w:p>
          <w:p w14:paraId="6A749708" w14:textId="77777777" w:rsidR="00440C99" w:rsidRPr="00440C99" w:rsidRDefault="00440C99" w:rsidP="00440C99">
            <w:pPr>
              <w:spacing w:after="0" w:line="250" w:lineRule="exact"/>
              <w:rPr>
                <w:rFonts w:ascii="Times New Roman" w:eastAsia="Times New Roman" w:hAnsi="Times New Roman" w:cs="Times New Roman"/>
                <w:kern w:val="0"/>
                <w:sz w:val="20"/>
                <w:szCs w:val="20"/>
                <w:lang w:eastAsia="it-IT"/>
                <w14:ligatures w14:val="none"/>
              </w:rPr>
            </w:pPr>
            <w:r w:rsidRPr="00440C99">
              <w:rPr>
                <w:rFonts w:ascii="Times New Roman" w:eastAsia="Times New Roman" w:hAnsi="Times New Roman" w:cs="Times New Roman"/>
                <w:kern w:val="0"/>
                <w:sz w:val="20"/>
                <w:szCs w:val="20"/>
                <w:lang w:eastAsia="it-IT"/>
                <w14:ligatures w14:val="none"/>
              </w:rPr>
              <w:t>La proposta non comporta un maggior onere amministrativo, in quanto prevede azioni ed interventi da svolgersi a cura di soggetti e strutture già presenti ed operanti sul territorio nazionale</w:t>
            </w:r>
          </w:p>
        </w:tc>
      </w:tr>
      <w:tr w:rsidR="00440C99" w:rsidRPr="00440C99" w14:paraId="24EE1449" w14:textId="77777777" w:rsidTr="002F0045">
        <w:trPr>
          <w:trHeight w:val="1392"/>
        </w:trPr>
        <w:tc>
          <w:tcPr>
            <w:tcW w:w="2837" w:type="dxa"/>
            <w:tcBorders>
              <w:top w:val="single" w:sz="4" w:space="0" w:color="auto"/>
              <w:left w:val="single" w:sz="4" w:space="0" w:color="auto"/>
              <w:bottom w:val="single" w:sz="4" w:space="0" w:color="auto"/>
              <w:right w:val="single" w:sz="4" w:space="0" w:color="auto"/>
            </w:tcBorders>
            <w:shd w:val="clear" w:color="auto" w:fill="FFFFFF"/>
          </w:tcPr>
          <w:p w14:paraId="58814B81" w14:textId="77777777" w:rsidR="00440C99" w:rsidRPr="00440C99" w:rsidRDefault="00440C99" w:rsidP="00440C99">
            <w:pPr>
              <w:spacing w:after="0" w:line="250" w:lineRule="exact"/>
              <w:ind w:right="300"/>
              <w:jc w:val="right"/>
              <w:rPr>
                <w:rFonts w:ascii="Times New Roman" w:eastAsia="Times New Roman" w:hAnsi="Times New Roman" w:cs="Times New Roman"/>
                <w:i/>
                <w:iCs/>
                <w:kern w:val="0"/>
                <w:sz w:val="20"/>
                <w:szCs w:val="20"/>
                <w:lang w:eastAsia="it-IT"/>
                <w14:ligatures w14:val="none"/>
              </w:rPr>
            </w:pPr>
            <w:r w:rsidRPr="00440C99">
              <w:rPr>
                <w:rFonts w:ascii="Times New Roman" w:eastAsia="Times New Roman" w:hAnsi="Times New Roman" w:cs="Times New Roman"/>
                <w:i/>
                <w:iCs/>
                <w:kern w:val="0"/>
                <w:sz w:val="20"/>
                <w:szCs w:val="20"/>
                <w:lang w:eastAsia="it-IT"/>
                <w14:ligatures w14:val="none"/>
              </w:rPr>
              <w:t xml:space="preserve">Sezione 6 - Incidenza sul corretto funzionamento concorrenziale </w:t>
            </w:r>
            <w:r w:rsidRPr="00440C99">
              <w:rPr>
                <w:rFonts w:ascii="Times New Roman" w:eastAsia="Times New Roman" w:hAnsi="Times New Roman" w:cs="Times New Roman"/>
                <w:i/>
                <w:iCs/>
                <w:kern w:val="0"/>
                <w:sz w:val="20"/>
                <w:szCs w:val="20"/>
                <w:lang w:val="de-DE" w:eastAsia="de-DE"/>
                <w14:ligatures w14:val="none"/>
              </w:rPr>
              <w:t xml:space="preserve">del </w:t>
            </w:r>
            <w:r w:rsidRPr="00440C99">
              <w:rPr>
                <w:rFonts w:ascii="Times New Roman" w:eastAsia="Times New Roman" w:hAnsi="Times New Roman" w:cs="Times New Roman"/>
                <w:i/>
                <w:iCs/>
                <w:kern w:val="0"/>
                <w:sz w:val="20"/>
                <w:szCs w:val="20"/>
                <w:lang w:eastAsia="it-IT"/>
                <w14:ligatures w14:val="none"/>
              </w:rPr>
              <w:t xml:space="preserve">mercato e sulla competitività regionale, </w:t>
            </w:r>
          </w:p>
        </w:tc>
        <w:tc>
          <w:tcPr>
            <w:tcW w:w="6802" w:type="dxa"/>
            <w:tcBorders>
              <w:top w:val="single" w:sz="4" w:space="0" w:color="auto"/>
              <w:left w:val="single" w:sz="4" w:space="0" w:color="auto"/>
              <w:bottom w:val="single" w:sz="4" w:space="0" w:color="auto"/>
              <w:right w:val="single" w:sz="4" w:space="0" w:color="auto"/>
            </w:tcBorders>
            <w:shd w:val="clear" w:color="auto" w:fill="FFFFFF"/>
          </w:tcPr>
          <w:p w14:paraId="733A76D7" w14:textId="77777777" w:rsidR="00440C99" w:rsidRPr="00440C99" w:rsidRDefault="00440C99" w:rsidP="00440C99">
            <w:pPr>
              <w:spacing w:after="0" w:line="240" w:lineRule="auto"/>
              <w:jc w:val="both"/>
              <w:rPr>
                <w:rFonts w:ascii="Times New Roman" w:eastAsia="Times New Roman" w:hAnsi="Times New Roman" w:cs="Times New Roman"/>
                <w:kern w:val="0"/>
                <w:sz w:val="20"/>
                <w:szCs w:val="20"/>
                <w:lang w:eastAsia="it-IT"/>
                <w14:ligatures w14:val="none"/>
              </w:rPr>
            </w:pPr>
            <w:r w:rsidRPr="00440C99">
              <w:rPr>
                <w:rFonts w:ascii="Times New Roman" w:eastAsia="Times New Roman" w:hAnsi="Times New Roman" w:cs="Times New Roman"/>
                <w:kern w:val="0"/>
                <w:sz w:val="20"/>
                <w:szCs w:val="20"/>
                <w:lang w:eastAsia="it-IT"/>
                <w14:ligatures w14:val="none"/>
              </w:rPr>
              <w:t xml:space="preserve">La proposta non ha alcun impatto sulle dinamiche concorrenziali di mercato. Sul piano della competitività regionale la modifica normativa abilita un più agevole sviluppo della rete elettrica che consentirà la realizzazione di nuove infrastrutture per soddisfare la crescente domanda di energia, il potenziamento di quelle esistenti e una sostanziale implementazione della qualità del servizio elettrico erogato a cittadini ed imprese. </w:t>
            </w:r>
          </w:p>
        </w:tc>
      </w:tr>
      <w:tr w:rsidR="00440C99" w:rsidRPr="00440C99" w14:paraId="7C1191AA" w14:textId="77777777" w:rsidTr="002F0045">
        <w:trPr>
          <w:trHeight w:val="2263"/>
        </w:trPr>
        <w:tc>
          <w:tcPr>
            <w:tcW w:w="2837" w:type="dxa"/>
            <w:tcBorders>
              <w:top w:val="single" w:sz="4" w:space="0" w:color="auto"/>
              <w:left w:val="single" w:sz="4" w:space="0" w:color="auto"/>
              <w:bottom w:val="single" w:sz="4" w:space="0" w:color="auto"/>
              <w:right w:val="single" w:sz="4" w:space="0" w:color="auto"/>
            </w:tcBorders>
            <w:shd w:val="clear" w:color="auto" w:fill="FFFFFF"/>
          </w:tcPr>
          <w:p w14:paraId="5C8D09DD" w14:textId="77777777" w:rsidR="00440C99" w:rsidRPr="00440C99" w:rsidRDefault="00440C99" w:rsidP="00440C99">
            <w:pPr>
              <w:spacing w:after="0" w:line="250" w:lineRule="exact"/>
              <w:ind w:right="300"/>
              <w:jc w:val="right"/>
              <w:rPr>
                <w:rFonts w:ascii="Times New Roman" w:eastAsia="Times New Roman" w:hAnsi="Times New Roman" w:cs="Times New Roman"/>
                <w:i/>
                <w:iCs/>
                <w:kern w:val="0"/>
                <w:sz w:val="20"/>
                <w:szCs w:val="20"/>
                <w:lang w:eastAsia="it-IT"/>
                <w14:ligatures w14:val="none"/>
              </w:rPr>
            </w:pPr>
            <w:r w:rsidRPr="00440C99">
              <w:rPr>
                <w:rFonts w:ascii="Times New Roman" w:eastAsia="Times New Roman" w:hAnsi="Times New Roman" w:cs="Times New Roman"/>
                <w:i/>
                <w:iCs/>
                <w:kern w:val="0"/>
                <w:sz w:val="20"/>
                <w:szCs w:val="20"/>
                <w:lang w:eastAsia="it-IT"/>
                <w14:ligatures w14:val="none"/>
              </w:rPr>
              <w:t>Sezione 7 - Modalità attuative dell'intervento di regolamentazione</w:t>
            </w:r>
          </w:p>
        </w:tc>
        <w:tc>
          <w:tcPr>
            <w:tcW w:w="6802" w:type="dxa"/>
            <w:tcBorders>
              <w:top w:val="single" w:sz="4" w:space="0" w:color="auto"/>
              <w:left w:val="single" w:sz="4" w:space="0" w:color="auto"/>
              <w:bottom w:val="single" w:sz="4" w:space="0" w:color="auto"/>
              <w:right w:val="single" w:sz="4" w:space="0" w:color="auto"/>
            </w:tcBorders>
            <w:shd w:val="clear" w:color="auto" w:fill="FFFFFF"/>
          </w:tcPr>
          <w:p w14:paraId="29C038DB" w14:textId="77777777" w:rsidR="00440C99" w:rsidRPr="00440C99" w:rsidRDefault="00440C99" w:rsidP="00440C99">
            <w:pPr>
              <w:spacing w:after="60" w:line="250" w:lineRule="exact"/>
              <w:jc w:val="both"/>
              <w:rPr>
                <w:rFonts w:ascii="Times New Roman" w:eastAsia="Times New Roman" w:hAnsi="Times New Roman" w:cs="Times New Roman"/>
                <w:kern w:val="0"/>
                <w:sz w:val="20"/>
                <w:szCs w:val="20"/>
                <w:lang w:eastAsia="it-IT"/>
                <w14:ligatures w14:val="none"/>
              </w:rPr>
            </w:pPr>
            <w:r w:rsidRPr="00440C99">
              <w:rPr>
                <w:rFonts w:ascii="Times New Roman" w:eastAsia="Times New Roman" w:hAnsi="Times New Roman" w:cs="Times New Roman"/>
                <w:kern w:val="0"/>
                <w:sz w:val="20"/>
                <w:szCs w:val="20"/>
                <w:lang w:eastAsia="it-IT"/>
                <w14:ligatures w14:val="none"/>
              </w:rPr>
              <w:t xml:space="preserve">Al fine di orientare l’attività legislativa regionale, in materia concorrente, indotta dall’entrata in vigore delle LLGNN, il decreto stabilisce, al secondo comma dell’art. 7, che “Resta ferma la validità ed efficacia di eventuali disposizioni più favorevoli contenute nelle leggi regionali e provinciali che disciplinano l’autorizzazione alla costruzione ed esercizio di reti ed impianti di distribuzione anche tramite attività libera, limitatamente agli interventi </w:t>
            </w:r>
            <w:proofErr w:type="spellStart"/>
            <w:r w:rsidRPr="00440C99">
              <w:rPr>
                <w:rFonts w:ascii="Times New Roman" w:eastAsia="Times New Roman" w:hAnsi="Times New Roman" w:cs="Times New Roman"/>
                <w:kern w:val="0"/>
                <w:sz w:val="20"/>
                <w:szCs w:val="20"/>
                <w:lang w:eastAsia="it-IT"/>
                <w14:ligatures w14:val="none"/>
              </w:rPr>
              <w:t>assentibili</w:t>
            </w:r>
            <w:proofErr w:type="spellEnd"/>
            <w:r w:rsidRPr="00440C99">
              <w:rPr>
                <w:rFonts w:ascii="Times New Roman" w:eastAsia="Times New Roman" w:hAnsi="Times New Roman" w:cs="Times New Roman"/>
                <w:kern w:val="0"/>
                <w:sz w:val="20"/>
                <w:szCs w:val="20"/>
                <w:lang w:eastAsia="it-IT"/>
                <w14:ligatures w14:val="none"/>
              </w:rPr>
              <w:t xml:space="preserve"> mediante DIL o autocertificazione come previsti dalle presenti linee guida.”</w:t>
            </w:r>
          </w:p>
          <w:p w14:paraId="4E51EDAB" w14:textId="77777777" w:rsidR="00440C99" w:rsidRPr="00440C99" w:rsidRDefault="00440C99" w:rsidP="00440C99">
            <w:pPr>
              <w:spacing w:after="60" w:line="250" w:lineRule="exact"/>
              <w:jc w:val="both"/>
              <w:rPr>
                <w:rFonts w:ascii="Times New Roman" w:eastAsia="Times New Roman" w:hAnsi="Times New Roman" w:cs="Times New Roman"/>
                <w:kern w:val="0"/>
                <w:sz w:val="20"/>
                <w:szCs w:val="20"/>
                <w:lang w:eastAsia="it-IT"/>
                <w14:ligatures w14:val="none"/>
              </w:rPr>
            </w:pPr>
            <w:r w:rsidRPr="00440C99">
              <w:rPr>
                <w:rFonts w:ascii="Times New Roman" w:eastAsia="Times New Roman" w:hAnsi="Times New Roman" w:cs="Times New Roman"/>
                <w:kern w:val="0"/>
                <w:sz w:val="20"/>
                <w:szCs w:val="20"/>
                <w:lang w:eastAsia="it-IT"/>
                <w14:ligatures w14:val="none"/>
              </w:rPr>
              <w:t>L’art. 7, u.co., delle LLGNN, infine, detta una norma transitoria, rimettendo alla facoltà del gestore la riproposizione delle istanze pendenti in coerenza con la nuova disciplina prevista dal Decreto ministeriale.</w:t>
            </w:r>
          </w:p>
          <w:p w14:paraId="3817973B" w14:textId="77777777" w:rsidR="00440C99" w:rsidRPr="00440C99" w:rsidRDefault="00440C99" w:rsidP="00440C99">
            <w:pPr>
              <w:spacing w:after="0" w:line="250" w:lineRule="exact"/>
              <w:jc w:val="both"/>
              <w:rPr>
                <w:rFonts w:ascii="Times New Roman" w:eastAsia="Times New Roman" w:hAnsi="Times New Roman" w:cs="Times New Roman"/>
                <w:kern w:val="0"/>
                <w:sz w:val="20"/>
                <w:szCs w:val="20"/>
                <w:lang w:eastAsia="it-IT"/>
                <w14:ligatures w14:val="none"/>
              </w:rPr>
            </w:pPr>
          </w:p>
        </w:tc>
      </w:tr>
      <w:tr w:rsidR="002F0045" w:rsidRPr="009340EE" w14:paraId="2BA95E0B" w14:textId="77777777" w:rsidTr="002F0045">
        <w:trPr>
          <w:trHeight w:val="1027"/>
        </w:trPr>
        <w:tc>
          <w:tcPr>
            <w:tcW w:w="2837" w:type="dxa"/>
            <w:tcBorders>
              <w:top w:val="single" w:sz="4" w:space="0" w:color="auto"/>
              <w:left w:val="single" w:sz="4" w:space="0" w:color="auto"/>
              <w:bottom w:val="single" w:sz="4" w:space="0" w:color="auto"/>
              <w:right w:val="single" w:sz="4" w:space="0" w:color="auto"/>
            </w:tcBorders>
            <w:shd w:val="clear" w:color="auto" w:fill="FFFFFF"/>
          </w:tcPr>
          <w:p w14:paraId="3D81367F" w14:textId="77777777" w:rsidR="002F0045" w:rsidRPr="009340EE" w:rsidRDefault="002F0045" w:rsidP="002F0045">
            <w:pPr>
              <w:pStyle w:val="Bodytext30"/>
              <w:shd w:val="clear" w:color="auto" w:fill="auto"/>
              <w:ind w:right="300"/>
            </w:pPr>
            <w:r w:rsidRPr="009340EE">
              <w:t>Sezione 8 - Rispetto dei livelli minimi di regolazione europea</w:t>
            </w:r>
          </w:p>
        </w:tc>
        <w:tc>
          <w:tcPr>
            <w:tcW w:w="6802" w:type="dxa"/>
            <w:tcBorders>
              <w:top w:val="single" w:sz="4" w:space="0" w:color="auto"/>
              <w:left w:val="single" w:sz="4" w:space="0" w:color="auto"/>
              <w:bottom w:val="single" w:sz="4" w:space="0" w:color="auto"/>
              <w:right w:val="single" w:sz="4" w:space="0" w:color="auto"/>
            </w:tcBorders>
            <w:shd w:val="clear" w:color="auto" w:fill="FFFFFF"/>
          </w:tcPr>
          <w:p w14:paraId="211487C5" w14:textId="77777777" w:rsidR="002F0045" w:rsidRPr="009340EE" w:rsidRDefault="002F0045" w:rsidP="002F0045">
            <w:pPr>
              <w:pStyle w:val="Corpotesto"/>
              <w:shd w:val="clear" w:color="auto" w:fill="auto"/>
              <w:jc w:val="both"/>
            </w:pPr>
            <w:r w:rsidRPr="009340EE">
              <w:t>L'intervento regolatorio di cui trattasi non incide sul livello minimo di regolazione comunitaria.</w:t>
            </w:r>
          </w:p>
        </w:tc>
      </w:tr>
    </w:tbl>
    <w:p w14:paraId="713484DF" w14:textId="77777777" w:rsidR="00440C99" w:rsidRDefault="00440C99" w:rsidP="008326E6">
      <w:pPr>
        <w:jc w:val="center"/>
        <w:rPr>
          <w:b/>
          <w:bCs/>
          <w:sz w:val="32"/>
          <w:szCs w:val="32"/>
        </w:rPr>
      </w:pPr>
    </w:p>
    <w:p w14:paraId="64F8945D" w14:textId="77777777" w:rsidR="004C62F6" w:rsidRPr="004C62F6" w:rsidRDefault="004C62F6" w:rsidP="008326E6">
      <w:pPr>
        <w:rPr>
          <w:b/>
          <w:bCs/>
          <w:sz w:val="32"/>
          <w:szCs w:val="32"/>
        </w:rPr>
      </w:pPr>
    </w:p>
    <w:sectPr w:rsidR="004C62F6" w:rsidRPr="004C62F6" w:rsidSect="004D78DE">
      <w:pgSz w:w="11906" w:h="16838" w:code="9"/>
      <w:pgMar w:top="1134" w:right="1077" w:bottom="737" w:left="1418"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9AD"/>
    <w:rsid w:val="00042161"/>
    <w:rsid w:val="00136317"/>
    <w:rsid w:val="00280B51"/>
    <w:rsid w:val="002F0045"/>
    <w:rsid w:val="00440C99"/>
    <w:rsid w:val="004C62F6"/>
    <w:rsid w:val="004D78DE"/>
    <w:rsid w:val="00716583"/>
    <w:rsid w:val="0073715F"/>
    <w:rsid w:val="008326E6"/>
    <w:rsid w:val="00855A6A"/>
    <w:rsid w:val="00883357"/>
    <w:rsid w:val="00B148CD"/>
    <w:rsid w:val="00B2453E"/>
    <w:rsid w:val="00EF69AD"/>
    <w:rsid w:val="00F23185"/>
    <w:rsid w:val="00F87E67"/>
    <w:rsid w:val="00FB12C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29599"/>
  <w15:chartTrackingRefBased/>
  <w15:docId w15:val="{109A5D66-58C1-4E3F-AE49-AB8A20F09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EF69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testoCarattere1">
    <w:name w:val="Corpo testo Carattere1"/>
    <w:basedOn w:val="Carpredefinitoparagrafo"/>
    <w:link w:val="Corpotesto"/>
    <w:uiPriority w:val="99"/>
    <w:rsid w:val="002F0045"/>
    <w:rPr>
      <w:rFonts w:ascii="Times New Roman" w:hAnsi="Times New Roman" w:cs="Times New Roman"/>
      <w:sz w:val="20"/>
      <w:szCs w:val="20"/>
      <w:shd w:val="clear" w:color="auto" w:fill="FFFFFF"/>
    </w:rPr>
  </w:style>
  <w:style w:type="paragraph" w:styleId="Corpotesto">
    <w:name w:val="Body Text"/>
    <w:basedOn w:val="Normale"/>
    <w:link w:val="CorpotestoCarattere1"/>
    <w:uiPriority w:val="99"/>
    <w:rsid w:val="002F0045"/>
    <w:pPr>
      <w:shd w:val="clear" w:color="auto" w:fill="FFFFFF"/>
      <w:spacing w:after="0" w:line="254" w:lineRule="exact"/>
      <w:jc w:val="right"/>
    </w:pPr>
    <w:rPr>
      <w:rFonts w:ascii="Times New Roman" w:hAnsi="Times New Roman" w:cs="Times New Roman"/>
      <w:sz w:val="20"/>
      <w:szCs w:val="20"/>
    </w:rPr>
  </w:style>
  <w:style w:type="character" w:customStyle="1" w:styleId="CorpotestoCarattere">
    <w:name w:val="Corpo testo Carattere"/>
    <w:basedOn w:val="Carpredefinitoparagrafo"/>
    <w:uiPriority w:val="99"/>
    <w:semiHidden/>
    <w:rsid w:val="002F0045"/>
  </w:style>
  <w:style w:type="character" w:customStyle="1" w:styleId="Bodytext3">
    <w:name w:val="Body text (3)_"/>
    <w:basedOn w:val="Carpredefinitoparagrafo"/>
    <w:link w:val="Bodytext30"/>
    <w:uiPriority w:val="99"/>
    <w:rsid w:val="002F0045"/>
    <w:rPr>
      <w:rFonts w:ascii="Times New Roman" w:hAnsi="Times New Roman" w:cs="Times New Roman"/>
      <w:i/>
      <w:iCs/>
      <w:sz w:val="20"/>
      <w:szCs w:val="20"/>
      <w:shd w:val="clear" w:color="auto" w:fill="FFFFFF"/>
    </w:rPr>
  </w:style>
  <w:style w:type="paragraph" w:customStyle="1" w:styleId="Bodytext30">
    <w:name w:val="Body text (3)"/>
    <w:basedOn w:val="Normale"/>
    <w:link w:val="Bodytext3"/>
    <w:uiPriority w:val="99"/>
    <w:rsid w:val="002F0045"/>
    <w:pPr>
      <w:shd w:val="clear" w:color="auto" w:fill="FFFFFF"/>
      <w:spacing w:after="0" w:line="250" w:lineRule="exact"/>
      <w:jc w:val="right"/>
    </w:pPr>
    <w:rPr>
      <w:rFonts w:ascii="Times New Roman" w:hAnsi="Times New Roman" w:cs="Times New Roman"/>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6C1EE-E23C-45FE-AD3A-AA15F70B1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1039</Words>
  <Characters>5928</Characters>
  <Application>Microsoft Office Word</Application>
  <DocSecurity>0</DocSecurity>
  <Lines>49</Lines>
  <Paragraphs>13</Paragraphs>
  <ScaleCrop>false</ScaleCrop>
  <Company/>
  <LinksUpToDate>false</LinksUpToDate>
  <CharactersWithSpaces>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Casillo Umberto</dc:creator>
  <cp:keywords/>
  <dc:description/>
  <cp:lastModifiedBy>Casillo Umberto</cp:lastModifiedBy>
  <cp:revision>17</cp:revision>
  <dcterms:created xsi:type="dcterms:W3CDTF">2023-11-03T10:02:00Z</dcterms:created>
  <dcterms:modified xsi:type="dcterms:W3CDTF">2023-11-20T10:27:00Z</dcterms:modified>
</cp:coreProperties>
</file>