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EB2EA" w14:textId="77777777" w:rsidR="006F461A" w:rsidRDefault="006F461A" w:rsidP="006F6C47">
      <w:pPr>
        <w:tabs>
          <w:tab w:val="center" w:pos="4819"/>
          <w:tab w:val="left" w:pos="8205"/>
        </w:tabs>
        <w:rPr>
          <w:i/>
        </w:rPr>
      </w:pPr>
      <w:bookmarkStart w:id="0" w:name="_Hlk521052913"/>
      <w:bookmarkStart w:id="1" w:name="_Hlk103948921"/>
    </w:p>
    <w:p w14:paraId="60EA31E8" w14:textId="0CAC7E1C" w:rsidR="006F6C47" w:rsidRDefault="006F6C47" w:rsidP="006F6C47">
      <w:pPr>
        <w:tabs>
          <w:tab w:val="center" w:pos="4819"/>
          <w:tab w:val="left" w:pos="8205"/>
        </w:tabs>
        <w:rPr>
          <w:i/>
        </w:rPr>
      </w:pPr>
      <w:r>
        <w:rPr>
          <w:i/>
          <w:noProof/>
        </w:rPr>
        <w:drawing>
          <wp:anchor distT="0" distB="0" distL="114300" distR="114300" simplePos="0" relativeHeight="251658240" behindDoc="0" locked="0" layoutInCell="1" allowOverlap="1" wp14:anchorId="3B012235" wp14:editId="2B5C1C9A">
            <wp:simplePos x="0" y="0"/>
            <wp:positionH relativeFrom="margin">
              <wp:align>center</wp:align>
            </wp:positionH>
            <wp:positionV relativeFrom="paragraph">
              <wp:posOffset>211455</wp:posOffset>
            </wp:positionV>
            <wp:extent cx="1227455" cy="821690"/>
            <wp:effectExtent l="0" t="0" r="0" b="0"/>
            <wp:wrapTopAndBottom/>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27455" cy="821690"/>
                    </a:xfrm>
                    <a:prstGeom prst="rect">
                      <a:avLst/>
                    </a:prstGeom>
                    <a:noFill/>
                  </pic:spPr>
                </pic:pic>
              </a:graphicData>
            </a:graphic>
            <wp14:sizeRelH relativeFrom="page">
              <wp14:pctWidth>0</wp14:pctWidth>
            </wp14:sizeRelH>
            <wp14:sizeRelV relativeFrom="page">
              <wp14:pctHeight>0</wp14:pctHeight>
            </wp14:sizeRelV>
          </wp:anchor>
        </w:drawing>
      </w:r>
    </w:p>
    <w:bookmarkEnd w:id="0"/>
    <w:bookmarkEnd w:id="1"/>
    <w:p w14:paraId="6EABF768" w14:textId="77777777" w:rsidR="00435907" w:rsidRDefault="00435907" w:rsidP="00435907">
      <w:pPr>
        <w:tabs>
          <w:tab w:val="center" w:pos="4819"/>
          <w:tab w:val="left" w:pos="8205"/>
        </w:tabs>
        <w:jc w:val="center"/>
        <w:rPr>
          <w:b/>
          <w:bCs/>
          <w:i/>
        </w:rPr>
      </w:pPr>
      <w:r w:rsidRPr="0062048C">
        <w:rPr>
          <w:b/>
          <w:bCs/>
          <w:i/>
        </w:rPr>
        <w:t>Consiglio Regionale della Campania</w:t>
      </w:r>
    </w:p>
    <w:p w14:paraId="563F42BF" w14:textId="77777777" w:rsidR="00435907" w:rsidRDefault="00435907" w:rsidP="00435907">
      <w:pPr>
        <w:tabs>
          <w:tab w:val="center" w:pos="4819"/>
          <w:tab w:val="left" w:pos="8205"/>
        </w:tabs>
        <w:jc w:val="center"/>
        <w:rPr>
          <w:b/>
          <w:bCs/>
          <w:i/>
        </w:rPr>
      </w:pPr>
      <w:r>
        <w:rPr>
          <w:b/>
          <w:bCs/>
          <w:i/>
        </w:rPr>
        <w:t>IV Commissione Consiliare Permanente</w:t>
      </w:r>
    </w:p>
    <w:p w14:paraId="53F07DDD" w14:textId="77777777" w:rsidR="00435907" w:rsidRDefault="00435907" w:rsidP="00435907">
      <w:pPr>
        <w:tabs>
          <w:tab w:val="center" w:pos="4819"/>
          <w:tab w:val="left" w:pos="8205"/>
        </w:tabs>
        <w:jc w:val="center"/>
        <w:rPr>
          <w:i/>
        </w:rPr>
      </w:pPr>
      <w:r w:rsidRPr="0062048C">
        <w:rPr>
          <w:i/>
        </w:rPr>
        <w:t>Urbanistica, Lavori Pubblici, Trasporti</w:t>
      </w:r>
    </w:p>
    <w:p w14:paraId="790DD6BB" w14:textId="77777777" w:rsidR="00B44850" w:rsidRDefault="00B44850" w:rsidP="00435907">
      <w:pPr>
        <w:tabs>
          <w:tab w:val="center" w:pos="4819"/>
          <w:tab w:val="left" w:pos="8205"/>
        </w:tabs>
        <w:jc w:val="center"/>
        <w:rPr>
          <w:i/>
        </w:rPr>
      </w:pPr>
    </w:p>
    <w:p w14:paraId="7D3C7E82" w14:textId="77777777" w:rsidR="00B44850" w:rsidRDefault="00B44850" w:rsidP="00435907">
      <w:pPr>
        <w:tabs>
          <w:tab w:val="center" w:pos="4819"/>
          <w:tab w:val="left" w:pos="8205"/>
        </w:tabs>
        <w:jc w:val="center"/>
        <w:rPr>
          <w:i/>
        </w:rPr>
      </w:pPr>
    </w:p>
    <w:p w14:paraId="53FDB8FE" w14:textId="77777777" w:rsidR="005B7F61" w:rsidRDefault="005B7F61" w:rsidP="005B7F61">
      <w:pPr>
        <w:widowControl w:val="0"/>
        <w:jc w:val="center"/>
        <w:rPr>
          <w:rFonts w:ascii="Goudy Old Style" w:hAnsi="Goudy Old Style"/>
          <w:b/>
          <w:sz w:val="22"/>
          <w:szCs w:val="22"/>
        </w:rPr>
      </w:pPr>
      <w:r>
        <w:rPr>
          <w:rFonts w:ascii="Goudy Old Style" w:hAnsi="Goudy Old Style"/>
          <w:b/>
          <w:sz w:val="22"/>
          <w:szCs w:val="22"/>
        </w:rPr>
        <w:t>PROPOSTA DI LEGGE</w:t>
      </w:r>
    </w:p>
    <w:p w14:paraId="47AEBE8E" w14:textId="77777777" w:rsidR="005B7F61" w:rsidRDefault="005B7F61" w:rsidP="005B7F61">
      <w:pPr>
        <w:widowControl w:val="0"/>
        <w:jc w:val="center"/>
        <w:rPr>
          <w:rFonts w:ascii="Goudy Old Style" w:hAnsi="Goudy Old Style"/>
          <w:sz w:val="22"/>
          <w:szCs w:val="22"/>
        </w:rPr>
      </w:pPr>
    </w:p>
    <w:p w14:paraId="15D11A51" w14:textId="77777777" w:rsidR="005B7F61" w:rsidRDefault="005B7F61" w:rsidP="005B7F61">
      <w:pPr>
        <w:widowControl w:val="0"/>
        <w:jc w:val="center"/>
        <w:rPr>
          <w:rFonts w:ascii="Goudy Old Style" w:hAnsi="Goudy Old Style"/>
          <w:sz w:val="22"/>
          <w:szCs w:val="22"/>
        </w:rPr>
      </w:pPr>
    </w:p>
    <w:p w14:paraId="11EB48E8" w14:textId="77777777" w:rsidR="005B7F61" w:rsidRDefault="005B7F61" w:rsidP="005B7F61">
      <w:pPr>
        <w:widowControl w:val="0"/>
        <w:jc w:val="center"/>
        <w:rPr>
          <w:rFonts w:ascii="Goudy Old Style" w:hAnsi="Goudy Old Style"/>
          <w:b/>
          <w:sz w:val="22"/>
          <w:szCs w:val="22"/>
        </w:rPr>
      </w:pPr>
      <w:r>
        <w:rPr>
          <w:rFonts w:ascii="Goudy Old Style" w:hAnsi="Goudy Old Style"/>
          <w:b/>
          <w:sz w:val="22"/>
          <w:szCs w:val="22"/>
        </w:rPr>
        <w:t>Modifiche alla legge regionale 29 ottobre 1974, n 54 (Norme sulla istituzione di nuovi Comuni e sul mutamento delle circoscrizioni territoriali dei Comuni della Regione del territorio)</w:t>
      </w:r>
    </w:p>
    <w:p w14:paraId="0A589798" w14:textId="77777777" w:rsidR="005B7F61" w:rsidRDefault="005B7F61" w:rsidP="005B7F61">
      <w:pPr>
        <w:widowControl w:val="0"/>
        <w:jc w:val="center"/>
        <w:rPr>
          <w:rFonts w:ascii="Goudy Old Style" w:hAnsi="Goudy Old Style"/>
          <w:b/>
          <w:sz w:val="22"/>
          <w:szCs w:val="22"/>
        </w:rPr>
      </w:pPr>
    </w:p>
    <w:p w14:paraId="03BC5540" w14:textId="77777777" w:rsidR="005B7F61" w:rsidRDefault="005B7F61" w:rsidP="005B7F61">
      <w:pPr>
        <w:spacing w:line="360" w:lineRule="auto"/>
        <w:jc w:val="center"/>
        <w:rPr>
          <w:rFonts w:ascii="Goudy Old Style" w:hAnsi="Goudy Old Style"/>
          <w:smallCaps/>
          <w:sz w:val="22"/>
          <w:szCs w:val="22"/>
        </w:rPr>
      </w:pPr>
    </w:p>
    <w:p w14:paraId="6B1F201C" w14:textId="77777777" w:rsidR="005B7F61" w:rsidRPr="004836D7" w:rsidRDefault="005B7F61" w:rsidP="005B7F61">
      <w:pPr>
        <w:spacing w:line="360" w:lineRule="auto"/>
        <w:jc w:val="center"/>
        <w:rPr>
          <w:rFonts w:ascii="Goudy Old Style" w:hAnsi="Goudy Old Style"/>
          <w:b/>
          <w:bCs/>
          <w:smallCaps/>
          <w:sz w:val="22"/>
          <w:szCs w:val="22"/>
        </w:rPr>
      </w:pPr>
    </w:p>
    <w:p w14:paraId="241FC44A" w14:textId="77777777" w:rsidR="005B7F61" w:rsidRPr="004836D7" w:rsidRDefault="005B7F61" w:rsidP="005B7F61">
      <w:pPr>
        <w:spacing w:line="360" w:lineRule="auto"/>
        <w:jc w:val="center"/>
        <w:rPr>
          <w:rFonts w:ascii="Goudy Old Style" w:hAnsi="Goudy Old Style"/>
          <w:b/>
          <w:bCs/>
          <w:smallCaps/>
          <w:sz w:val="22"/>
          <w:szCs w:val="22"/>
        </w:rPr>
      </w:pPr>
      <w:r w:rsidRPr="004836D7">
        <w:rPr>
          <w:rFonts w:ascii="Goudy Old Style" w:hAnsi="Goudy Old Style"/>
          <w:b/>
          <w:bCs/>
          <w:smallCaps/>
          <w:sz w:val="22"/>
          <w:szCs w:val="22"/>
        </w:rPr>
        <w:t>Scheda AIR</w:t>
      </w:r>
    </w:p>
    <w:p w14:paraId="71BA16EF" w14:textId="77777777" w:rsidR="005B7F61" w:rsidRPr="004836D7" w:rsidRDefault="005B7F61" w:rsidP="005B7F61">
      <w:pPr>
        <w:spacing w:line="360" w:lineRule="auto"/>
        <w:jc w:val="center"/>
        <w:rPr>
          <w:rFonts w:ascii="Goudy Old Style" w:hAnsi="Goudy Old Style"/>
          <w:b/>
          <w:bCs/>
          <w:smallCaps/>
          <w:sz w:val="22"/>
          <w:szCs w:val="22"/>
        </w:rPr>
      </w:pPr>
      <w:r w:rsidRPr="004836D7">
        <w:rPr>
          <w:rFonts w:ascii="Goudy Old Style" w:hAnsi="Goudy Old Style"/>
          <w:b/>
          <w:bCs/>
          <w:smallCaps/>
          <w:sz w:val="22"/>
          <w:szCs w:val="22"/>
        </w:rPr>
        <w:t>Analisi di Impatto della Regolamentazione</w:t>
      </w:r>
    </w:p>
    <w:p w14:paraId="0B0EB6AE" w14:textId="77777777" w:rsidR="005B7F61" w:rsidRDefault="005B7F61" w:rsidP="005B7F61">
      <w:pPr>
        <w:spacing w:line="360" w:lineRule="auto"/>
        <w:rPr>
          <w:rFonts w:ascii="Goudy Old Style" w:hAnsi="Goudy Old Style"/>
          <w:smallCaps/>
          <w:sz w:val="22"/>
          <w:szCs w:val="22"/>
        </w:rPr>
      </w:pPr>
    </w:p>
    <w:p w14:paraId="4E82DB65" w14:textId="77777777" w:rsidR="005B7F61" w:rsidRDefault="005B7F61" w:rsidP="005B7F61">
      <w:pPr>
        <w:widowControl w:val="0"/>
        <w:jc w:val="center"/>
        <w:rPr>
          <w:rFonts w:ascii="Goudy Old Style" w:hAnsi="Goudy Old Style"/>
          <w:sz w:val="22"/>
          <w:szCs w:val="22"/>
        </w:rPr>
      </w:pPr>
    </w:p>
    <w:p w14:paraId="0D2795A6" w14:textId="77777777" w:rsidR="005B7F61" w:rsidRDefault="005B7F61" w:rsidP="005B7F61">
      <w:pPr>
        <w:widowControl w:val="0"/>
        <w:jc w:val="center"/>
        <w:rPr>
          <w:rFonts w:ascii="Goudy Old Style" w:hAnsi="Goudy Old Style"/>
          <w:sz w:val="22"/>
          <w:szCs w:val="22"/>
        </w:rPr>
      </w:pPr>
    </w:p>
    <w:p w14:paraId="42A4C09F" w14:textId="77777777" w:rsidR="005B7F61" w:rsidRDefault="005B7F61" w:rsidP="005B7F61">
      <w:pPr>
        <w:widowControl w:val="0"/>
        <w:jc w:val="center"/>
        <w:rPr>
          <w:rFonts w:ascii="Goudy Old Style" w:hAnsi="Goudy Old Style"/>
          <w:sz w:val="22"/>
          <w:szCs w:val="22"/>
        </w:rPr>
      </w:pPr>
    </w:p>
    <w:p w14:paraId="457E59E5" w14:textId="77777777" w:rsidR="005B7F61" w:rsidRDefault="005B7F61" w:rsidP="005B7F61">
      <w:pPr>
        <w:widowControl w:val="0"/>
        <w:jc w:val="center"/>
        <w:rPr>
          <w:rFonts w:ascii="Goudy Old Style" w:hAnsi="Goudy Old Style"/>
          <w:sz w:val="22"/>
          <w:szCs w:val="22"/>
        </w:rPr>
      </w:pPr>
    </w:p>
    <w:p w14:paraId="1B4B80A2" w14:textId="77777777" w:rsidR="005B7F61" w:rsidRDefault="005B7F61" w:rsidP="005B7F61">
      <w:pPr>
        <w:widowControl w:val="0"/>
        <w:jc w:val="center"/>
        <w:rPr>
          <w:rFonts w:ascii="Goudy Old Style" w:hAnsi="Goudy Old Style"/>
          <w:sz w:val="22"/>
          <w:szCs w:val="22"/>
        </w:rPr>
      </w:pPr>
    </w:p>
    <w:p w14:paraId="3A92838B" w14:textId="77777777" w:rsidR="005B7F61" w:rsidRDefault="005B7F61" w:rsidP="005B7F61">
      <w:pPr>
        <w:widowControl w:val="0"/>
        <w:jc w:val="center"/>
        <w:rPr>
          <w:rFonts w:ascii="Goudy Old Style" w:hAnsi="Goudy Old Style"/>
          <w:sz w:val="22"/>
          <w:szCs w:val="22"/>
        </w:rPr>
      </w:pPr>
    </w:p>
    <w:p w14:paraId="21CD4A48" w14:textId="77777777" w:rsidR="005B7F61" w:rsidRDefault="005B7F61" w:rsidP="005B7F61">
      <w:pPr>
        <w:widowControl w:val="0"/>
        <w:jc w:val="center"/>
        <w:rPr>
          <w:rFonts w:ascii="Goudy Old Style" w:hAnsi="Goudy Old Style"/>
          <w:b/>
          <w:sz w:val="22"/>
          <w:szCs w:val="22"/>
        </w:rPr>
      </w:pPr>
      <w:r>
        <w:rPr>
          <w:rFonts w:ascii="Goudy Old Style" w:hAnsi="Goudy Old Style"/>
          <w:b/>
          <w:sz w:val="22"/>
          <w:szCs w:val="22"/>
        </w:rPr>
        <w:t>ad iniziativa del Consigliere Regionale</w:t>
      </w:r>
    </w:p>
    <w:p w14:paraId="5BA77D61" w14:textId="77777777" w:rsidR="005B7F61" w:rsidRDefault="005B7F61" w:rsidP="005B7F61">
      <w:pPr>
        <w:widowControl w:val="0"/>
        <w:jc w:val="center"/>
        <w:rPr>
          <w:rFonts w:ascii="Goudy Old Style" w:hAnsi="Goudy Old Style"/>
          <w:b/>
          <w:sz w:val="22"/>
          <w:szCs w:val="22"/>
        </w:rPr>
      </w:pPr>
    </w:p>
    <w:p w14:paraId="4381C82E" w14:textId="77777777" w:rsidR="005B7F61" w:rsidRDefault="005B7F61" w:rsidP="005B7F61">
      <w:pPr>
        <w:spacing w:line="360" w:lineRule="auto"/>
        <w:jc w:val="center"/>
        <w:rPr>
          <w:rFonts w:ascii="Goudy Old Style" w:hAnsi="Goudy Old Style"/>
          <w:smallCaps/>
          <w:sz w:val="22"/>
          <w:szCs w:val="22"/>
        </w:rPr>
      </w:pPr>
      <w:r>
        <w:rPr>
          <w:rFonts w:ascii="Goudy Old Style" w:hAnsi="Goudy Old Style"/>
          <w:smallCaps/>
          <w:sz w:val="22"/>
          <w:szCs w:val="22"/>
        </w:rPr>
        <w:t>Luca Cascone</w:t>
      </w:r>
    </w:p>
    <w:p w14:paraId="64E973A9" w14:textId="77777777" w:rsidR="005B7F61" w:rsidRDefault="005B7F61" w:rsidP="005B7F61">
      <w:pPr>
        <w:spacing w:line="360" w:lineRule="auto"/>
        <w:rPr>
          <w:rFonts w:ascii="Goudy Old Style" w:hAnsi="Goudy Old Style"/>
          <w:smallCaps/>
          <w:sz w:val="22"/>
          <w:szCs w:val="22"/>
        </w:rPr>
      </w:pPr>
    </w:p>
    <w:p w14:paraId="6B070A43" w14:textId="77777777" w:rsidR="005B7F61" w:rsidRDefault="005B7F61" w:rsidP="005B7F61">
      <w:pPr>
        <w:spacing w:line="360" w:lineRule="auto"/>
        <w:jc w:val="center"/>
        <w:rPr>
          <w:rFonts w:ascii="Goudy Old Style" w:hAnsi="Goudy Old Style"/>
          <w:smallCaps/>
          <w:sz w:val="22"/>
          <w:szCs w:val="22"/>
        </w:rPr>
      </w:pPr>
      <w:r>
        <w:rPr>
          <w:rFonts w:ascii="Goudy Old Style" w:hAnsi="Goudy Old Style"/>
          <w:smallCaps/>
          <w:sz w:val="22"/>
          <w:szCs w:val="22"/>
        </w:rPr>
        <w:br w:type="page"/>
      </w:r>
    </w:p>
    <w:tbl>
      <w:tblPr>
        <w:tblStyle w:val="Grigliatabella"/>
        <w:tblW w:w="9918" w:type="dxa"/>
        <w:tblCellMar>
          <w:top w:w="57" w:type="dxa"/>
          <w:bottom w:w="57" w:type="dxa"/>
        </w:tblCellMar>
        <w:tblLook w:val="04A0" w:firstRow="1" w:lastRow="0" w:firstColumn="1" w:lastColumn="0" w:noHBand="0" w:noVBand="1"/>
      </w:tblPr>
      <w:tblGrid>
        <w:gridCol w:w="1878"/>
        <w:gridCol w:w="8040"/>
      </w:tblGrid>
      <w:tr w:rsidR="005B7F61" w14:paraId="4336FC63" w14:textId="77777777" w:rsidTr="000856AA">
        <w:tc>
          <w:tcPr>
            <w:tcW w:w="1878" w:type="dxa"/>
            <w:tcBorders>
              <w:top w:val="single" w:sz="4" w:space="0" w:color="auto"/>
              <w:left w:val="single" w:sz="4" w:space="0" w:color="auto"/>
              <w:bottom w:val="single" w:sz="4" w:space="0" w:color="auto"/>
              <w:right w:val="single" w:sz="4" w:space="0" w:color="auto"/>
            </w:tcBorders>
            <w:vAlign w:val="center"/>
            <w:hideMark/>
          </w:tcPr>
          <w:p w14:paraId="08218D73" w14:textId="77777777" w:rsidR="005B7F61" w:rsidRDefault="005B7F61" w:rsidP="000856AA">
            <w:pPr>
              <w:jc w:val="center"/>
              <w:rPr>
                <w:rFonts w:ascii="Goudy Old Style" w:hAnsi="Goudy Old Style"/>
                <w:b/>
                <w:sz w:val="22"/>
                <w:szCs w:val="22"/>
                <w:lang w:eastAsia="en-US"/>
              </w:rPr>
            </w:pPr>
            <w:r>
              <w:rPr>
                <w:rFonts w:ascii="Goudy Old Style" w:hAnsi="Goudy Old Style"/>
                <w:b/>
                <w:sz w:val="22"/>
                <w:szCs w:val="22"/>
                <w:lang w:eastAsia="en-US"/>
              </w:rPr>
              <w:lastRenderedPageBreak/>
              <w:t>SEZIONI</w:t>
            </w:r>
          </w:p>
        </w:tc>
        <w:tc>
          <w:tcPr>
            <w:tcW w:w="8040" w:type="dxa"/>
            <w:tcBorders>
              <w:top w:val="single" w:sz="4" w:space="0" w:color="auto"/>
              <w:left w:val="single" w:sz="4" w:space="0" w:color="auto"/>
              <w:bottom w:val="single" w:sz="4" w:space="0" w:color="auto"/>
              <w:right w:val="single" w:sz="4" w:space="0" w:color="auto"/>
            </w:tcBorders>
            <w:vAlign w:val="center"/>
            <w:hideMark/>
          </w:tcPr>
          <w:p w14:paraId="0A3C37D7" w14:textId="77777777" w:rsidR="005B7F61" w:rsidRDefault="005B7F61" w:rsidP="000856AA">
            <w:pPr>
              <w:jc w:val="center"/>
              <w:rPr>
                <w:rFonts w:ascii="Goudy Old Style" w:hAnsi="Goudy Old Style"/>
                <w:b/>
                <w:color w:val="FF0000"/>
                <w:sz w:val="22"/>
                <w:szCs w:val="22"/>
                <w:lang w:eastAsia="en-US"/>
              </w:rPr>
            </w:pPr>
            <w:r>
              <w:rPr>
                <w:rFonts w:ascii="Goudy Old Style" w:hAnsi="Goudy Old Style"/>
                <w:b/>
                <w:sz w:val="22"/>
                <w:szCs w:val="22"/>
                <w:lang w:eastAsia="en-US"/>
              </w:rPr>
              <w:t>CONTENUTI</w:t>
            </w:r>
          </w:p>
        </w:tc>
      </w:tr>
      <w:tr w:rsidR="005B7F61" w14:paraId="68FD02AD" w14:textId="77777777" w:rsidTr="000856AA">
        <w:tc>
          <w:tcPr>
            <w:tcW w:w="1878" w:type="dxa"/>
            <w:tcBorders>
              <w:top w:val="single" w:sz="4" w:space="0" w:color="auto"/>
              <w:left w:val="single" w:sz="4" w:space="0" w:color="auto"/>
              <w:bottom w:val="single" w:sz="4" w:space="0" w:color="auto"/>
              <w:right w:val="single" w:sz="4" w:space="0" w:color="auto"/>
            </w:tcBorders>
            <w:vAlign w:val="center"/>
            <w:hideMark/>
          </w:tcPr>
          <w:p w14:paraId="2F7D2E2B" w14:textId="77777777" w:rsidR="005B7F61" w:rsidRDefault="005B7F61" w:rsidP="000856AA">
            <w:pPr>
              <w:rPr>
                <w:rFonts w:ascii="Goudy Old Style" w:hAnsi="Goudy Old Style"/>
                <w:b/>
                <w:sz w:val="22"/>
                <w:szCs w:val="22"/>
                <w:lang w:eastAsia="en-US"/>
              </w:rPr>
            </w:pPr>
            <w:r>
              <w:rPr>
                <w:rFonts w:ascii="Goudy Old Style" w:hAnsi="Goudy Old Style"/>
                <w:b/>
                <w:sz w:val="22"/>
                <w:szCs w:val="22"/>
                <w:lang w:eastAsia="en-US"/>
              </w:rPr>
              <w:t>Sezione 1 - Contesto e obiettivi dell’intervento di regolamentazione</w:t>
            </w:r>
          </w:p>
        </w:tc>
        <w:tc>
          <w:tcPr>
            <w:tcW w:w="8040" w:type="dxa"/>
            <w:tcBorders>
              <w:top w:val="single" w:sz="4" w:space="0" w:color="auto"/>
              <w:left w:val="single" w:sz="4" w:space="0" w:color="auto"/>
              <w:bottom w:val="single" w:sz="4" w:space="0" w:color="auto"/>
              <w:right w:val="single" w:sz="4" w:space="0" w:color="auto"/>
            </w:tcBorders>
            <w:vAlign w:val="center"/>
          </w:tcPr>
          <w:p w14:paraId="7060F70B" w14:textId="77777777" w:rsidR="005B7F61" w:rsidRDefault="005B7F61" w:rsidP="005B7F61">
            <w:pPr>
              <w:pStyle w:val="Paragrafoelenco"/>
              <w:numPr>
                <w:ilvl w:val="0"/>
                <w:numId w:val="1"/>
              </w:numPr>
              <w:tabs>
                <w:tab w:val="left" w:pos="238"/>
              </w:tabs>
              <w:ind w:left="-6" w:firstLine="0"/>
              <w:jc w:val="both"/>
              <w:rPr>
                <w:rFonts w:ascii="Goudy Old Style" w:hAnsi="Goudy Old Style"/>
                <w:b/>
                <w:sz w:val="22"/>
                <w:szCs w:val="22"/>
                <w:lang w:eastAsia="en-US"/>
              </w:rPr>
            </w:pPr>
            <w:r>
              <w:rPr>
                <w:rFonts w:ascii="Goudy Old Style" w:hAnsi="Goudy Old Style"/>
                <w:b/>
                <w:sz w:val="22"/>
                <w:szCs w:val="22"/>
                <w:lang w:eastAsia="en-US"/>
              </w:rPr>
              <w:t>Rappresentazione del problema da risolvere e delle criticità constatate, anche con riferimento al contesto internazionale ed europeo, nonché delle esigenze sociali ed economiche considerate</w:t>
            </w:r>
          </w:p>
          <w:p w14:paraId="52F24F84" w14:textId="77777777" w:rsidR="005B7F61" w:rsidRDefault="005B7F61" w:rsidP="000856AA">
            <w:pPr>
              <w:pStyle w:val="Paragrafoelenco"/>
              <w:ind w:left="-6"/>
              <w:jc w:val="both"/>
              <w:rPr>
                <w:rFonts w:ascii="Goudy Old Style" w:hAnsi="Goudy Old Style"/>
                <w:b/>
                <w:sz w:val="22"/>
                <w:szCs w:val="22"/>
                <w:lang w:eastAsia="en-US"/>
              </w:rPr>
            </w:pPr>
            <w:r>
              <w:rPr>
                <w:rFonts w:ascii="Goudy Old Style" w:hAnsi="Goudy Old Style"/>
                <w:sz w:val="22"/>
                <w:szCs w:val="22"/>
                <w:lang w:eastAsia="en-US"/>
              </w:rPr>
              <w:t>La presente modifica della legge in oggetto nasce al fine di garantire la corretta transizione delle funzioni amministrative comprese l’applicazione di regolamenti e atti di contenuto generale nel caso d’istituzione di nuovi comuni o mutamento delle circoscrizioni, prevedendo una fase di transizione che preservi la continuità amministrativa fino all’adozione o adeguamento delle nuove norme.</w:t>
            </w:r>
          </w:p>
          <w:p w14:paraId="34E151CC" w14:textId="77777777" w:rsidR="005B7F61" w:rsidRDefault="005B7F61" w:rsidP="000856AA">
            <w:pPr>
              <w:spacing w:before="120"/>
              <w:jc w:val="both"/>
              <w:rPr>
                <w:rFonts w:ascii="Goudy Old Style" w:hAnsi="Goudy Old Style"/>
                <w:b/>
                <w:bCs/>
                <w:sz w:val="22"/>
                <w:szCs w:val="22"/>
                <w:u w:val="single"/>
                <w:lang w:eastAsia="en-US"/>
              </w:rPr>
            </w:pPr>
            <w:r>
              <w:rPr>
                <w:rFonts w:ascii="Goudy Old Style" w:hAnsi="Goudy Old Style"/>
                <w:b/>
                <w:bCs/>
                <w:sz w:val="22"/>
                <w:szCs w:val="22"/>
                <w:u w:val="single"/>
                <w:lang w:eastAsia="en-US"/>
              </w:rPr>
              <w:t xml:space="preserve">CRITICITÀ CONSTATATE/ESIGENZA SOCIALI </w:t>
            </w:r>
          </w:p>
          <w:p w14:paraId="430BC697" w14:textId="77777777" w:rsidR="005B7F61" w:rsidRDefault="005B7F61" w:rsidP="000856AA">
            <w:pPr>
              <w:spacing w:before="120"/>
              <w:jc w:val="both"/>
              <w:rPr>
                <w:rFonts w:ascii="Goudy Old Style" w:hAnsi="Goudy Old Style"/>
                <w:b/>
                <w:bCs/>
                <w:sz w:val="22"/>
                <w:szCs w:val="22"/>
                <w:u w:val="single"/>
                <w:lang w:eastAsia="en-US"/>
              </w:rPr>
            </w:pPr>
            <w:r>
              <w:rPr>
                <w:rFonts w:ascii="Goudy Old Style" w:hAnsi="Goudy Old Style"/>
                <w:sz w:val="22"/>
                <w:szCs w:val="22"/>
                <w:lang w:eastAsia="en-US"/>
              </w:rPr>
              <w:t>I processi di fusione o mutamento delle circoscrizioni, se pur incentivati, determinano inevitabilmente un diverso assetto delle funzioni di governo che incidono direttamente sulle comunità interessate ivi comprese le attività economiche insediate, causando incertezze burocratiche connesse all’applicazione di norme e regolamenti, anche di carattere generale ivi comprese quelli di natura urbanistica. Tale condizione di disagio necessità di una fase di transizione che possa preservare i cittadini e le attività economiche da un eventuale pregiudizio alle proprie prerogative o diritti.</w:t>
            </w:r>
          </w:p>
          <w:p w14:paraId="35CE73A3" w14:textId="77777777" w:rsidR="005B7F61" w:rsidRDefault="005B7F61" w:rsidP="000856AA">
            <w:pPr>
              <w:spacing w:before="120"/>
              <w:jc w:val="both"/>
              <w:rPr>
                <w:rFonts w:ascii="Goudy Old Style" w:hAnsi="Goudy Old Style"/>
                <w:b/>
                <w:bCs/>
                <w:sz w:val="22"/>
                <w:szCs w:val="22"/>
                <w:u w:val="single"/>
                <w:lang w:eastAsia="en-US"/>
              </w:rPr>
            </w:pPr>
            <w:r>
              <w:rPr>
                <w:rFonts w:ascii="Goudy Old Style" w:hAnsi="Goudy Old Style"/>
                <w:b/>
                <w:bCs/>
                <w:sz w:val="22"/>
                <w:szCs w:val="22"/>
                <w:u w:val="single"/>
                <w:lang w:eastAsia="en-US"/>
              </w:rPr>
              <w:t xml:space="preserve">OBIETTIVI DELL’INTERVENTO DI REGOLAMENTAZIONE </w:t>
            </w:r>
          </w:p>
          <w:p w14:paraId="4C36F374" w14:textId="77777777" w:rsidR="005B7F61" w:rsidRDefault="005B7F61" w:rsidP="000856AA">
            <w:pPr>
              <w:spacing w:before="120"/>
              <w:jc w:val="both"/>
              <w:rPr>
                <w:rFonts w:ascii="Goudy Old Style" w:hAnsi="Goudy Old Style"/>
                <w:sz w:val="22"/>
                <w:szCs w:val="22"/>
                <w:lang w:eastAsia="en-US"/>
              </w:rPr>
            </w:pPr>
            <w:r>
              <w:rPr>
                <w:rFonts w:ascii="Goudy Old Style" w:hAnsi="Goudy Old Style"/>
                <w:sz w:val="22"/>
                <w:szCs w:val="22"/>
                <w:lang w:eastAsia="en-US"/>
              </w:rPr>
              <w:t>La modifica legislativa è resa necessaria dall’esigenza di garantire la corretta transizione delle funzioni amministrative in caso di ridefinizione dei confini territoriali, prevedendo il perdurare dell’efficacia di regolamenti e atti di natura generale fino alla modifica o adeguamento normativo resosi necessario.</w:t>
            </w:r>
          </w:p>
          <w:p w14:paraId="73268EAA" w14:textId="77777777" w:rsidR="005B7F61" w:rsidRDefault="005B7F61" w:rsidP="000856AA">
            <w:pPr>
              <w:spacing w:before="120"/>
              <w:jc w:val="both"/>
              <w:rPr>
                <w:rFonts w:ascii="Goudy Old Style" w:hAnsi="Goudy Old Style"/>
                <w:sz w:val="22"/>
                <w:szCs w:val="22"/>
                <w:lang w:eastAsia="en-US"/>
              </w:rPr>
            </w:pPr>
            <w:r>
              <w:rPr>
                <w:rFonts w:ascii="Goudy Old Style" w:hAnsi="Goudy Old Style"/>
                <w:sz w:val="22"/>
                <w:szCs w:val="22"/>
                <w:lang w:eastAsia="en-US"/>
              </w:rPr>
              <w:t xml:space="preserve">L’articolo inoltre prevede, in assenza di diverso accordo e nella fase di transizione, un procedimento a cura del comune che vede ampliato il proprio confine, da concludersi previa doppia conformità degli atti. </w:t>
            </w:r>
          </w:p>
          <w:p w14:paraId="293C14AF" w14:textId="77777777" w:rsidR="005B7F61" w:rsidRDefault="005B7F61" w:rsidP="000856AA">
            <w:pPr>
              <w:spacing w:before="120"/>
              <w:jc w:val="both"/>
              <w:rPr>
                <w:rFonts w:ascii="Goudy Old Style" w:hAnsi="Goudy Old Style"/>
                <w:b/>
                <w:bCs/>
                <w:sz w:val="22"/>
                <w:szCs w:val="22"/>
                <w:u w:val="single"/>
                <w:lang w:eastAsia="en-US"/>
              </w:rPr>
            </w:pPr>
            <w:r>
              <w:rPr>
                <w:rFonts w:ascii="Goudy Old Style" w:hAnsi="Goudy Old Style"/>
                <w:b/>
                <w:bCs/>
                <w:sz w:val="22"/>
                <w:szCs w:val="22"/>
                <w:u w:val="single"/>
                <w:lang w:eastAsia="en-US"/>
              </w:rPr>
              <w:t xml:space="preserve">DESTINATARI </w:t>
            </w:r>
          </w:p>
          <w:p w14:paraId="00F23A0C" w14:textId="77777777" w:rsidR="005B7F61" w:rsidRDefault="005B7F61" w:rsidP="000856AA">
            <w:pPr>
              <w:spacing w:before="120"/>
              <w:jc w:val="both"/>
              <w:rPr>
                <w:rFonts w:ascii="Goudy Old Style" w:hAnsi="Goudy Old Style"/>
                <w:sz w:val="22"/>
                <w:szCs w:val="22"/>
                <w:lang w:eastAsia="en-US"/>
              </w:rPr>
            </w:pPr>
            <w:r>
              <w:rPr>
                <w:rFonts w:ascii="Goudy Old Style" w:hAnsi="Goudy Old Style"/>
                <w:sz w:val="22"/>
                <w:szCs w:val="22"/>
                <w:lang w:eastAsia="en-US"/>
              </w:rPr>
              <w:t>Enti Locali della Regione Campania</w:t>
            </w:r>
          </w:p>
          <w:p w14:paraId="67A981E0" w14:textId="77777777" w:rsidR="005B7F61" w:rsidRDefault="005B7F61" w:rsidP="000856AA">
            <w:pPr>
              <w:jc w:val="both"/>
              <w:rPr>
                <w:rFonts w:ascii="Goudy Old Style" w:hAnsi="Goudy Old Style"/>
                <w:sz w:val="22"/>
                <w:szCs w:val="22"/>
                <w:lang w:eastAsia="en-US"/>
              </w:rPr>
            </w:pPr>
            <w:r>
              <w:rPr>
                <w:rFonts w:ascii="Goudy Old Style" w:hAnsi="Goudy Old Style"/>
                <w:sz w:val="22"/>
                <w:szCs w:val="22"/>
                <w:lang w:eastAsia="en-US"/>
              </w:rPr>
              <w:t xml:space="preserve">I cittadini della regione Campanaia. </w:t>
            </w:r>
          </w:p>
          <w:p w14:paraId="6CE84BF6" w14:textId="77777777" w:rsidR="005B7F61" w:rsidRDefault="005B7F61" w:rsidP="000856AA">
            <w:pPr>
              <w:jc w:val="both"/>
              <w:rPr>
                <w:rFonts w:ascii="Goudy Old Style" w:hAnsi="Goudy Old Style"/>
                <w:sz w:val="22"/>
                <w:szCs w:val="22"/>
                <w:lang w:eastAsia="en-US"/>
              </w:rPr>
            </w:pPr>
            <w:r>
              <w:rPr>
                <w:rFonts w:ascii="Goudy Old Style" w:hAnsi="Goudy Old Style"/>
                <w:sz w:val="22"/>
                <w:szCs w:val="22"/>
                <w:lang w:eastAsia="en-US"/>
              </w:rPr>
              <w:t>Attività economiche</w:t>
            </w:r>
          </w:p>
          <w:p w14:paraId="26B6FCA7" w14:textId="77777777" w:rsidR="005B7F61" w:rsidRDefault="005B7F61" w:rsidP="000856AA">
            <w:pPr>
              <w:spacing w:before="120"/>
              <w:jc w:val="both"/>
              <w:rPr>
                <w:rFonts w:ascii="Goudy Old Style" w:hAnsi="Goudy Old Style"/>
                <w:b/>
                <w:sz w:val="22"/>
                <w:szCs w:val="22"/>
                <w:lang w:eastAsia="en-US"/>
              </w:rPr>
            </w:pPr>
            <w:r>
              <w:rPr>
                <w:rFonts w:ascii="Goudy Old Style" w:hAnsi="Goudy Old Style"/>
                <w:b/>
                <w:sz w:val="22"/>
                <w:szCs w:val="22"/>
                <w:lang w:eastAsia="en-US"/>
              </w:rPr>
              <w:t>Indicazione degli obiettivi perseguiti con l’intervento normativo.</w:t>
            </w:r>
          </w:p>
          <w:p w14:paraId="550755E1" w14:textId="77777777" w:rsidR="005B7F61" w:rsidRDefault="005B7F61" w:rsidP="000856AA">
            <w:pPr>
              <w:spacing w:before="120"/>
              <w:rPr>
                <w:rFonts w:ascii="Goudy Old Style" w:hAnsi="Goudy Old Style"/>
                <w:sz w:val="22"/>
                <w:szCs w:val="22"/>
                <w:lang w:eastAsia="en-US"/>
              </w:rPr>
            </w:pPr>
            <w:r>
              <w:rPr>
                <w:rFonts w:ascii="Goudy Old Style" w:hAnsi="Goudy Old Style"/>
                <w:sz w:val="22"/>
                <w:szCs w:val="22"/>
                <w:lang w:eastAsia="en-US"/>
              </w:rPr>
              <w:t>Gli obiettivi di breve/ medio periodo o specifici dell’intervento normativo sono quelli di evitare condizioni d’incertezza normativa consentendo una fase di transizione congrua all’adeguamento della nuova normativa e degli assetti di governo. La norma oltre ad evitare pregiudizio a cittadini ed imprese evita il sorgere di eventuali contenziosi.</w:t>
            </w:r>
          </w:p>
          <w:p w14:paraId="15766FF5" w14:textId="77777777" w:rsidR="005B7F61" w:rsidRDefault="005B7F61" w:rsidP="000856AA">
            <w:pPr>
              <w:jc w:val="both"/>
              <w:rPr>
                <w:rFonts w:ascii="Goudy Old Style" w:hAnsi="Goudy Old Style"/>
                <w:sz w:val="22"/>
                <w:szCs w:val="22"/>
                <w:lang w:eastAsia="en-US"/>
              </w:rPr>
            </w:pPr>
          </w:p>
          <w:p w14:paraId="7BB1CDF6" w14:textId="77777777" w:rsidR="005B7F61" w:rsidRDefault="005B7F61" w:rsidP="005B7F61">
            <w:pPr>
              <w:pStyle w:val="Paragrafoelenco"/>
              <w:numPr>
                <w:ilvl w:val="0"/>
                <w:numId w:val="1"/>
              </w:numPr>
              <w:tabs>
                <w:tab w:val="left" w:pos="226"/>
              </w:tabs>
              <w:spacing w:before="120"/>
              <w:ind w:left="0" w:firstLine="0"/>
              <w:rPr>
                <w:rFonts w:ascii="Goudy Old Style" w:hAnsi="Goudy Old Style"/>
                <w:b/>
                <w:sz w:val="22"/>
                <w:szCs w:val="22"/>
                <w:lang w:eastAsia="en-US"/>
              </w:rPr>
            </w:pPr>
            <w:r>
              <w:rPr>
                <w:rFonts w:ascii="Goudy Old Style" w:hAnsi="Goudy Old Style"/>
                <w:b/>
                <w:sz w:val="22"/>
                <w:szCs w:val="22"/>
                <w:lang w:eastAsia="en-US"/>
              </w:rPr>
              <w:t>Descrizione degli indicatori che consentono di verificare il grado di raggiungimento degli obiettivi indicati e di monitorare l’attuazione dell’intervento nell’ambito della VIR.</w:t>
            </w:r>
          </w:p>
          <w:p w14:paraId="6F374CE7" w14:textId="77777777" w:rsidR="005B7F61" w:rsidRDefault="005B7F61" w:rsidP="000856AA">
            <w:pPr>
              <w:tabs>
                <w:tab w:val="left" w:pos="226"/>
              </w:tabs>
              <w:spacing w:before="120"/>
              <w:rPr>
                <w:rFonts w:ascii="Goudy Old Style" w:hAnsi="Goudy Old Style"/>
                <w:sz w:val="22"/>
                <w:szCs w:val="22"/>
                <w:lang w:eastAsia="en-US"/>
              </w:rPr>
            </w:pPr>
            <w:r>
              <w:rPr>
                <w:rFonts w:ascii="Goudy Old Style" w:hAnsi="Goudy Old Style"/>
                <w:sz w:val="22"/>
                <w:szCs w:val="22"/>
                <w:lang w:eastAsia="en-US"/>
              </w:rPr>
              <w:t xml:space="preserve">principali </w:t>
            </w:r>
            <w:r>
              <w:rPr>
                <w:rFonts w:ascii="Goudy Old Style" w:hAnsi="Goudy Old Style"/>
                <w:sz w:val="22"/>
                <w:szCs w:val="22"/>
                <w:u w:val="single"/>
                <w:lang w:eastAsia="en-US"/>
              </w:rPr>
              <w:t xml:space="preserve">indicatori </w:t>
            </w:r>
            <w:r>
              <w:rPr>
                <w:rFonts w:ascii="Goudy Old Style" w:hAnsi="Goudy Old Style"/>
                <w:sz w:val="22"/>
                <w:szCs w:val="22"/>
                <w:lang w:eastAsia="en-US"/>
              </w:rPr>
              <w:t>saranno, tra gli altri:</w:t>
            </w:r>
          </w:p>
          <w:p w14:paraId="378E218B" w14:textId="77777777" w:rsidR="005B7F61" w:rsidRDefault="005B7F61" w:rsidP="000856AA">
            <w:pPr>
              <w:tabs>
                <w:tab w:val="left" w:pos="226"/>
              </w:tabs>
              <w:ind w:hanging="6"/>
              <w:rPr>
                <w:rFonts w:ascii="Goudy Old Style" w:hAnsi="Goudy Old Style"/>
                <w:sz w:val="22"/>
                <w:szCs w:val="22"/>
                <w:lang w:eastAsia="en-US"/>
              </w:rPr>
            </w:pPr>
            <w:r>
              <w:rPr>
                <w:rFonts w:ascii="Goudy Old Style" w:hAnsi="Goudy Old Style"/>
                <w:sz w:val="22"/>
                <w:szCs w:val="22"/>
                <w:lang w:eastAsia="en-US"/>
              </w:rPr>
              <w:t>Regione Campania</w:t>
            </w:r>
          </w:p>
          <w:p w14:paraId="62A9B36D" w14:textId="77777777" w:rsidR="005B7F61" w:rsidRDefault="005B7F61" w:rsidP="000856AA">
            <w:pPr>
              <w:tabs>
                <w:tab w:val="left" w:pos="226"/>
              </w:tabs>
              <w:ind w:hanging="6"/>
              <w:rPr>
                <w:rFonts w:ascii="Goudy Old Style" w:hAnsi="Goudy Old Style"/>
                <w:sz w:val="22"/>
                <w:szCs w:val="22"/>
                <w:lang w:eastAsia="en-US"/>
              </w:rPr>
            </w:pPr>
            <w:r>
              <w:rPr>
                <w:rFonts w:ascii="Goudy Old Style" w:hAnsi="Goudy Old Style"/>
                <w:sz w:val="22"/>
                <w:szCs w:val="22"/>
                <w:lang w:eastAsia="en-US"/>
              </w:rPr>
              <w:t>Amministrazioni comunali</w:t>
            </w:r>
          </w:p>
          <w:p w14:paraId="235545F3" w14:textId="77777777" w:rsidR="005B7F61" w:rsidRDefault="005B7F61" w:rsidP="000856AA">
            <w:pPr>
              <w:tabs>
                <w:tab w:val="left" w:pos="226"/>
              </w:tabs>
              <w:ind w:hanging="6"/>
              <w:rPr>
                <w:rFonts w:ascii="Goudy Old Style" w:hAnsi="Goudy Old Style"/>
                <w:sz w:val="22"/>
                <w:szCs w:val="22"/>
                <w:lang w:eastAsia="en-US"/>
              </w:rPr>
            </w:pPr>
            <w:r>
              <w:rPr>
                <w:rFonts w:ascii="Goudy Old Style" w:hAnsi="Goudy Old Style"/>
                <w:sz w:val="22"/>
                <w:szCs w:val="22"/>
                <w:lang w:eastAsia="en-US"/>
              </w:rPr>
              <w:t>Associazioni di categoria</w:t>
            </w:r>
          </w:p>
          <w:p w14:paraId="19693D97" w14:textId="77777777" w:rsidR="005B7F61" w:rsidRDefault="005B7F61" w:rsidP="000856AA">
            <w:pPr>
              <w:tabs>
                <w:tab w:val="left" w:pos="226"/>
              </w:tabs>
              <w:ind w:hanging="6"/>
              <w:rPr>
                <w:rFonts w:ascii="Goudy Old Style" w:hAnsi="Goudy Old Style"/>
                <w:sz w:val="22"/>
                <w:szCs w:val="22"/>
                <w:lang w:eastAsia="en-US"/>
              </w:rPr>
            </w:pPr>
          </w:p>
          <w:p w14:paraId="756C9A2D" w14:textId="77777777" w:rsidR="005B7F61" w:rsidRDefault="005B7F61" w:rsidP="005B7F61">
            <w:pPr>
              <w:pStyle w:val="Paragrafoelenco"/>
              <w:numPr>
                <w:ilvl w:val="0"/>
                <w:numId w:val="1"/>
              </w:numPr>
              <w:tabs>
                <w:tab w:val="left" w:pos="226"/>
              </w:tabs>
              <w:autoSpaceDE w:val="0"/>
              <w:autoSpaceDN w:val="0"/>
              <w:adjustRightInd w:val="0"/>
              <w:ind w:left="0" w:hanging="6"/>
              <w:jc w:val="both"/>
              <w:rPr>
                <w:rFonts w:ascii="Goudy Old Style" w:hAnsi="Goudy Old Style"/>
                <w:b/>
                <w:sz w:val="22"/>
                <w:szCs w:val="22"/>
                <w:lang w:eastAsia="en-US"/>
              </w:rPr>
            </w:pPr>
            <w:r>
              <w:rPr>
                <w:rFonts w:ascii="Goudy Old Style" w:hAnsi="Goudy Old Style"/>
                <w:b/>
                <w:sz w:val="22"/>
                <w:szCs w:val="22"/>
                <w:lang w:eastAsia="en-US"/>
              </w:rPr>
              <w:t>Indicazione delle categorie di soggetti, pubblici e privati, destinatari dei principali effetti dell’intervento regolatorio.</w:t>
            </w:r>
          </w:p>
          <w:p w14:paraId="6263A5C2" w14:textId="77777777" w:rsidR="005B7F61" w:rsidRDefault="005B7F61" w:rsidP="000856AA">
            <w:pPr>
              <w:spacing w:before="120"/>
              <w:rPr>
                <w:rFonts w:ascii="Goudy Old Style" w:hAnsi="Goudy Old Style"/>
                <w:sz w:val="22"/>
                <w:szCs w:val="22"/>
                <w:lang w:eastAsia="en-US"/>
              </w:rPr>
            </w:pPr>
            <w:r>
              <w:rPr>
                <w:rFonts w:ascii="Goudy Old Style" w:hAnsi="Goudy Old Style"/>
                <w:sz w:val="22"/>
                <w:szCs w:val="22"/>
                <w:lang w:eastAsia="en-US"/>
              </w:rPr>
              <w:t>Soggetti pubblici:</w:t>
            </w:r>
          </w:p>
          <w:p w14:paraId="23DAF598" w14:textId="77777777" w:rsidR="005B7F61" w:rsidRDefault="005B7F61" w:rsidP="000856AA">
            <w:pPr>
              <w:autoSpaceDE w:val="0"/>
              <w:autoSpaceDN w:val="0"/>
              <w:adjustRightInd w:val="0"/>
              <w:rPr>
                <w:rFonts w:ascii="Goudy Old Style" w:hAnsi="Goudy Old Style"/>
                <w:sz w:val="22"/>
                <w:szCs w:val="22"/>
                <w:lang w:eastAsia="en-US"/>
              </w:rPr>
            </w:pPr>
            <w:r>
              <w:rPr>
                <w:rFonts w:ascii="Goudy Old Style" w:hAnsi="Goudy Old Style"/>
                <w:sz w:val="22"/>
                <w:szCs w:val="22"/>
                <w:lang w:eastAsia="en-US"/>
              </w:rPr>
              <w:t>Regione Campania;</w:t>
            </w:r>
          </w:p>
          <w:p w14:paraId="220C9433" w14:textId="77777777" w:rsidR="005B7F61" w:rsidRDefault="005B7F61" w:rsidP="000856AA">
            <w:pPr>
              <w:autoSpaceDE w:val="0"/>
              <w:autoSpaceDN w:val="0"/>
              <w:adjustRightInd w:val="0"/>
              <w:rPr>
                <w:rFonts w:ascii="Goudy Old Style" w:hAnsi="Goudy Old Style"/>
                <w:sz w:val="22"/>
                <w:szCs w:val="22"/>
                <w:lang w:eastAsia="en-US"/>
              </w:rPr>
            </w:pPr>
            <w:r>
              <w:rPr>
                <w:rFonts w:ascii="Goudy Old Style" w:hAnsi="Goudy Old Style"/>
                <w:sz w:val="22"/>
                <w:szCs w:val="22"/>
                <w:lang w:eastAsia="en-US"/>
              </w:rPr>
              <w:lastRenderedPageBreak/>
              <w:t>Comuni</w:t>
            </w:r>
          </w:p>
          <w:p w14:paraId="579E230C" w14:textId="77777777" w:rsidR="005B7F61" w:rsidRDefault="005B7F61" w:rsidP="000856AA">
            <w:pPr>
              <w:autoSpaceDE w:val="0"/>
              <w:autoSpaceDN w:val="0"/>
              <w:adjustRightInd w:val="0"/>
              <w:rPr>
                <w:rFonts w:ascii="Goudy Old Style" w:hAnsi="Goudy Old Style"/>
                <w:sz w:val="22"/>
                <w:szCs w:val="22"/>
                <w:lang w:eastAsia="en-US"/>
              </w:rPr>
            </w:pPr>
            <w:r>
              <w:rPr>
                <w:rFonts w:ascii="Goudy Old Style" w:hAnsi="Goudy Old Style"/>
                <w:sz w:val="22"/>
                <w:szCs w:val="22"/>
                <w:lang w:eastAsia="en-US"/>
              </w:rPr>
              <w:t>Associazioni di categoria</w:t>
            </w:r>
          </w:p>
          <w:p w14:paraId="68B357E0" w14:textId="77777777" w:rsidR="005B7F61" w:rsidRDefault="005B7F61" w:rsidP="000856AA">
            <w:pPr>
              <w:autoSpaceDE w:val="0"/>
              <w:autoSpaceDN w:val="0"/>
              <w:adjustRightInd w:val="0"/>
              <w:rPr>
                <w:rFonts w:ascii="Goudy Old Style" w:hAnsi="Goudy Old Style"/>
                <w:sz w:val="22"/>
                <w:szCs w:val="22"/>
                <w:lang w:eastAsia="en-US"/>
              </w:rPr>
            </w:pPr>
            <w:r>
              <w:rPr>
                <w:rFonts w:ascii="Goudy Old Style" w:hAnsi="Goudy Old Style"/>
                <w:sz w:val="22"/>
                <w:szCs w:val="22"/>
                <w:lang w:eastAsia="en-US"/>
              </w:rPr>
              <w:t>Destinatari Indiretti:</w:t>
            </w:r>
          </w:p>
          <w:p w14:paraId="433F2862" w14:textId="77777777" w:rsidR="005B7F61" w:rsidRDefault="005B7F61" w:rsidP="000856AA">
            <w:pPr>
              <w:autoSpaceDE w:val="0"/>
              <w:autoSpaceDN w:val="0"/>
              <w:adjustRightInd w:val="0"/>
              <w:rPr>
                <w:rFonts w:ascii="Goudy Old Style" w:hAnsi="Goudy Old Style"/>
                <w:sz w:val="22"/>
                <w:szCs w:val="22"/>
                <w:lang w:eastAsia="en-US"/>
              </w:rPr>
            </w:pPr>
            <w:r>
              <w:rPr>
                <w:rFonts w:ascii="Goudy Old Style" w:hAnsi="Goudy Old Style"/>
                <w:sz w:val="22"/>
                <w:szCs w:val="22"/>
                <w:lang w:eastAsia="en-US"/>
              </w:rPr>
              <w:t>la collettività nel suo insieme</w:t>
            </w:r>
          </w:p>
        </w:tc>
      </w:tr>
      <w:tr w:rsidR="005B7F61" w14:paraId="3D9379EC" w14:textId="77777777" w:rsidTr="000856AA">
        <w:tc>
          <w:tcPr>
            <w:tcW w:w="1878" w:type="dxa"/>
            <w:tcBorders>
              <w:top w:val="single" w:sz="4" w:space="0" w:color="auto"/>
              <w:left w:val="single" w:sz="4" w:space="0" w:color="auto"/>
              <w:bottom w:val="single" w:sz="4" w:space="0" w:color="auto"/>
              <w:right w:val="single" w:sz="4" w:space="0" w:color="auto"/>
            </w:tcBorders>
            <w:vAlign w:val="center"/>
            <w:hideMark/>
          </w:tcPr>
          <w:p w14:paraId="4D5CA733" w14:textId="77777777" w:rsidR="005B7F61" w:rsidRDefault="005B7F61" w:rsidP="000856AA">
            <w:pPr>
              <w:rPr>
                <w:rFonts w:ascii="Goudy Old Style" w:hAnsi="Goudy Old Style"/>
                <w:b/>
                <w:sz w:val="22"/>
                <w:szCs w:val="22"/>
                <w:lang w:eastAsia="en-US"/>
              </w:rPr>
            </w:pPr>
            <w:r>
              <w:rPr>
                <w:rFonts w:ascii="Goudy Old Style" w:hAnsi="Goudy Old Style"/>
                <w:b/>
                <w:sz w:val="22"/>
                <w:szCs w:val="22"/>
                <w:lang w:eastAsia="en-US"/>
              </w:rPr>
              <w:lastRenderedPageBreak/>
              <w:t>Sezione 2 - Procedure di consultazione precedenti l’intervento</w:t>
            </w:r>
          </w:p>
        </w:tc>
        <w:tc>
          <w:tcPr>
            <w:tcW w:w="8040" w:type="dxa"/>
            <w:tcBorders>
              <w:top w:val="single" w:sz="4" w:space="0" w:color="auto"/>
              <w:left w:val="single" w:sz="4" w:space="0" w:color="auto"/>
              <w:bottom w:val="single" w:sz="4" w:space="0" w:color="auto"/>
              <w:right w:val="single" w:sz="4" w:space="0" w:color="auto"/>
            </w:tcBorders>
            <w:vAlign w:val="center"/>
            <w:hideMark/>
          </w:tcPr>
          <w:p w14:paraId="76872F22" w14:textId="77777777" w:rsidR="005B7F61" w:rsidRDefault="005B7F61" w:rsidP="000856AA">
            <w:pPr>
              <w:jc w:val="both"/>
              <w:rPr>
                <w:rFonts w:ascii="Goudy Old Style" w:hAnsi="Goudy Old Style"/>
                <w:sz w:val="22"/>
                <w:szCs w:val="22"/>
                <w:lang w:eastAsia="en-US"/>
              </w:rPr>
            </w:pPr>
            <w:r>
              <w:rPr>
                <w:rFonts w:ascii="Goudy Old Style" w:hAnsi="Goudy Old Style"/>
                <w:sz w:val="22"/>
                <w:szCs w:val="22"/>
                <w:lang w:eastAsia="en-US"/>
              </w:rPr>
              <w:t>Regione Campania</w:t>
            </w:r>
          </w:p>
          <w:p w14:paraId="3B2822DD" w14:textId="77777777" w:rsidR="005B7F61" w:rsidRDefault="005B7F61" w:rsidP="000856AA">
            <w:pPr>
              <w:jc w:val="both"/>
              <w:rPr>
                <w:rFonts w:ascii="Goudy Old Style" w:hAnsi="Goudy Old Style"/>
                <w:sz w:val="22"/>
                <w:szCs w:val="22"/>
                <w:lang w:eastAsia="en-US"/>
              </w:rPr>
            </w:pPr>
            <w:r>
              <w:rPr>
                <w:rFonts w:ascii="Goudy Old Style" w:hAnsi="Goudy Old Style"/>
                <w:sz w:val="22"/>
                <w:szCs w:val="22"/>
                <w:lang w:eastAsia="en-US"/>
              </w:rPr>
              <w:t>Enti Locali</w:t>
            </w:r>
          </w:p>
          <w:p w14:paraId="0DCE4757" w14:textId="77777777" w:rsidR="005B7F61" w:rsidRDefault="005B7F61" w:rsidP="000856AA">
            <w:pPr>
              <w:jc w:val="both"/>
              <w:rPr>
                <w:rFonts w:ascii="Goudy Old Style" w:hAnsi="Goudy Old Style"/>
                <w:sz w:val="22"/>
                <w:szCs w:val="22"/>
                <w:lang w:eastAsia="en-US"/>
              </w:rPr>
            </w:pPr>
            <w:r>
              <w:rPr>
                <w:rFonts w:ascii="Goudy Old Style" w:hAnsi="Goudy Old Style"/>
                <w:sz w:val="22"/>
                <w:szCs w:val="22"/>
                <w:lang w:eastAsia="en-US"/>
              </w:rPr>
              <w:t>Associazioni di categoria</w:t>
            </w:r>
          </w:p>
        </w:tc>
      </w:tr>
      <w:tr w:rsidR="005B7F61" w14:paraId="61E7DA1A" w14:textId="77777777" w:rsidTr="000856AA">
        <w:tc>
          <w:tcPr>
            <w:tcW w:w="1878" w:type="dxa"/>
            <w:tcBorders>
              <w:top w:val="single" w:sz="4" w:space="0" w:color="auto"/>
              <w:left w:val="single" w:sz="4" w:space="0" w:color="auto"/>
              <w:bottom w:val="single" w:sz="4" w:space="0" w:color="auto"/>
              <w:right w:val="single" w:sz="4" w:space="0" w:color="auto"/>
            </w:tcBorders>
            <w:vAlign w:val="center"/>
            <w:hideMark/>
          </w:tcPr>
          <w:p w14:paraId="5DB917BE" w14:textId="77777777" w:rsidR="005B7F61" w:rsidRDefault="005B7F61" w:rsidP="000856AA">
            <w:pPr>
              <w:rPr>
                <w:rFonts w:ascii="Goudy Old Style" w:hAnsi="Goudy Old Style"/>
                <w:b/>
                <w:sz w:val="22"/>
                <w:szCs w:val="22"/>
                <w:lang w:eastAsia="en-US"/>
              </w:rPr>
            </w:pPr>
            <w:r>
              <w:rPr>
                <w:rFonts w:ascii="Goudy Old Style" w:hAnsi="Goudy Old Style"/>
                <w:b/>
                <w:sz w:val="22"/>
                <w:szCs w:val="22"/>
                <w:lang w:eastAsia="en-US"/>
              </w:rPr>
              <w:t>Sezione 3 - Valutazione dell’opzione di non intervento di regolamentazione (opzione zero)</w:t>
            </w:r>
          </w:p>
        </w:tc>
        <w:tc>
          <w:tcPr>
            <w:tcW w:w="8040" w:type="dxa"/>
            <w:tcBorders>
              <w:top w:val="single" w:sz="4" w:space="0" w:color="auto"/>
              <w:left w:val="single" w:sz="4" w:space="0" w:color="auto"/>
              <w:bottom w:val="single" w:sz="4" w:space="0" w:color="auto"/>
              <w:right w:val="single" w:sz="4" w:space="0" w:color="auto"/>
            </w:tcBorders>
            <w:vAlign w:val="center"/>
            <w:hideMark/>
          </w:tcPr>
          <w:p w14:paraId="20D0B907" w14:textId="77777777" w:rsidR="005B7F61" w:rsidRDefault="005B7F61" w:rsidP="000856AA">
            <w:pPr>
              <w:jc w:val="both"/>
              <w:rPr>
                <w:rFonts w:ascii="Goudy Old Style" w:hAnsi="Goudy Old Style"/>
                <w:sz w:val="22"/>
                <w:szCs w:val="22"/>
                <w:lang w:eastAsia="en-US"/>
              </w:rPr>
            </w:pPr>
            <w:r>
              <w:rPr>
                <w:rFonts w:ascii="Goudy Old Style" w:hAnsi="Goudy Old Style"/>
                <w:sz w:val="22"/>
                <w:szCs w:val="22"/>
                <w:lang w:eastAsia="en-US"/>
              </w:rPr>
              <w:t>L’opzione zero è stata valutata come non preferibile in quanto il “non intervento” non sarebbe in grado di fornire una risposta valida al raggiungimento degli obiettivi.</w:t>
            </w:r>
          </w:p>
          <w:p w14:paraId="025715B1" w14:textId="77777777" w:rsidR="005B7F61" w:rsidRDefault="005B7F61" w:rsidP="000856AA">
            <w:pPr>
              <w:jc w:val="both"/>
              <w:rPr>
                <w:rFonts w:ascii="Goudy Old Style" w:hAnsi="Goudy Old Style"/>
                <w:sz w:val="22"/>
                <w:szCs w:val="22"/>
                <w:lang w:eastAsia="en-US"/>
              </w:rPr>
            </w:pPr>
            <w:r>
              <w:rPr>
                <w:rFonts w:ascii="Goudy Old Style" w:hAnsi="Goudy Old Style"/>
                <w:sz w:val="22"/>
                <w:szCs w:val="22"/>
                <w:lang w:eastAsia="en-US"/>
              </w:rPr>
              <w:t>La necessità di un intervento normativo è connessa all’esigenza di garantire una corretta transizione amministrativa nelle fasi di ridefinizione territoriale.</w:t>
            </w:r>
          </w:p>
        </w:tc>
      </w:tr>
      <w:tr w:rsidR="005B7F61" w14:paraId="3ECD6647" w14:textId="77777777" w:rsidTr="000856AA">
        <w:tc>
          <w:tcPr>
            <w:tcW w:w="1878" w:type="dxa"/>
            <w:tcBorders>
              <w:top w:val="single" w:sz="4" w:space="0" w:color="auto"/>
              <w:left w:val="single" w:sz="4" w:space="0" w:color="auto"/>
              <w:bottom w:val="single" w:sz="4" w:space="0" w:color="auto"/>
              <w:right w:val="single" w:sz="4" w:space="0" w:color="auto"/>
            </w:tcBorders>
            <w:vAlign w:val="center"/>
            <w:hideMark/>
          </w:tcPr>
          <w:p w14:paraId="16A6F722" w14:textId="77777777" w:rsidR="005B7F61" w:rsidRDefault="005B7F61" w:rsidP="000856AA">
            <w:pPr>
              <w:rPr>
                <w:rFonts w:ascii="Goudy Old Style" w:hAnsi="Goudy Old Style"/>
                <w:b/>
                <w:sz w:val="22"/>
                <w:szCs w:val="22"/>
                <w:lang w:eastAsia="en-US"/>
              </w:rPr>
            </w:pPr>
            <w:r>
              <w:rPr>
                <w:rFonts w:ascii="Goudy Old Style" w:hAnsi="Goudy Old Style"/>
                <w:b/>
                <w:sz w:val="22"/>
                <w:szCs w:val="22"/>
                <w:lang w:eastAsia="en-US"/>
              </w:rPr>
              <w:t xml:space="preserve">Sezione 4 - </w:t>
            </w:r>
            <w:proofErr w:type="gramStart"/>
            <w:r>
              <w:rPr>
                <w:rFonts w:ascii="Goudy Old Style" w:hAnsi="Goudy Old Style"/>
                <w:b/>
                <w:sz w:val="22"/>
                <w:szCs w:val="22"/>
                <w:lang w:eastAsia="en-US"/>
              </w:rPr>
              <w:t>Opzioni alternative</w:t>
            </w:r>
            <w:proofErr w:type="gramEnd"/>
            <w:r>
              <w:rPr>
                <w:rFonts w:ascii="Goudy Old Style" w:hAnsi="Goudy Old Style"/>
                <w:b/>
                <w:sz w:val="22"/>
                <w:szCs w:val="22"/>
                <w:lang w:eastAsia="en-US"/>
              </w:rPr>
              <w:t xml:space="preserve"> all’intervento regolatorio</w:t>
            </w:r>
          </w:p>
        </w:tc>
        <w:tc>
          <w:tcPr>
            <w:tcW w:w="8040" w:type="dxa"/>
            <w:tcBorders>
              <w:top w:val="single" w:sz="4" w:space="0" w:color="auto"/>
              <w:left w:val="single" w:sz="4" w:space="0" w:color="auto"/>
              <w:bottom w:val="single" w:sz="4" w:space="0" w:color="auto"/>
              <w:right w:val="single" w:sz="4" w:space="0" w:color="auto"/>
            </w:tcBorders>
            <w:vAlign w:val="center"/>
            <w:hideMark/>
          </w:tcPr>
          <w:p w14:paraId="1E639C1C" w14:textId="77777777" w:rsidR="005B7F61" w:rsidRDefault="005B7F61" w:rsidP="000856AA">
            <w:pPr>
              <w:jc w:val="both"/>
              <w:rPr>
                <w:rFonts w:ascii="Goudy Old Style" w:hAnsi="Goudy Old Style"/>
                <w:sz w:val="22"/>
                <w:szCs w:val="22"/>
                <w:lang w:eastAsia="en-US"/>
              </w:rPr>
            </w:pPr>
            <w:r>
              <w:rPr>
                <w:rFonts w:ascii="Goudy Old Style" w:hAnsi="Goudy Old Style"/>
                <w:sz w:val="22"/>
                <w:szCs w:val="22"/>
                <w:lang w:eastAsia="en-US"/>
              </w:rPr>
              <w:t xml:space="preserve">Non sono state considerate e valutate opzioni. </w:t>
            </w:r>
          </w:p>
          <w:p w14:paraId="6E689FF5" w14:textId="77777777" w:rsidR="005B7F61" w:rsidRDefault="005B7F61" w:rsidP="000856AA">
            <w:pPr>
              <w:jc w:val="both"/>
              <w:rPr>
                <w:rFonts w:ascii="Goudy Old Style" w:hAnsi="Goudy Old Style"/>
                <w:sz w:val="22"/>
                <w:szCs w:val="22"/>
                <w:lang w:eastAsia="en-US"/>
              </w:rPr>
            </w:pPr>
            <w:r>
              <w:rPr>
                <w:rFonts w:ascii="Goudy Old Style" w:hAnsi="Goudy Old Style"/>
                <w:sz w:val="22"/>
                <w:szCs w:val="22"/>
                <w:lang w:eastAsia="en-US"/>
              </w:rPr>
              <w:t>Eventuali attività programmatorie a carico della Giunta, finalizzate all’organizzazione di attività oggetto della legge, hanno necessità di essere individuate e finalizzate con un provvedimento legislativo.</w:t>
            </w:r>
          </w:p>
        </w:tc>
      </w:tr>
      <w:tr w:rsidR="005B7F61" w14:paraId="24A4E989" w14:textId="77777777" w:rsidTr="000856AA">
        <w:tc>
          <w:tcPr>
            <w:tcW w:w="1878" w:type="dxa"/>
            <w:tcBorders>
              <w:top w:val="single" w:sz="4" w:space="0" w:color="auto"/>
              <w:left w:val="single" w:sz="4" w:space="0" w:color="auto"/>
              <w:bottom w:val="single" w:sz="4" w:space="0" w:color="auto"/>
              <w:right w:val="single" w:sz="4" w:space="0" w:color="auto"/>
            </w:tcBorders>
            <w:vAlign w:val="center"/>
            <w:hideMark/>
          </w:tcPr>
          <w:p w14:paraId="68D97766" w14:textId="77777777" w:rsidR="005B7F61" w:rsidRDefault="005B7F61" w:rsidP="000856AA">
            <w:pPr>
              <w:rPr>
                <w:rFonts w:ascii="Goudy Old Style" w:hAnsi="Goudy Old Style"/>
                <w:b/>
                <w:sz w:val="22"/>
                <w:szCs w:val="22"/>
                <w:lang w:eastAsia="en-US"/>
              </w:rPr>
            </w:pPr>
            <w:r>
              <w:rPr>
                <w:rFonts w:ascii="Goudy Old Style" w:hAnsi="Goudy Old Style"/>
                <w:b/>
                <w:sz w:val="22"/>
                <w:szCs w:val="22"/>
                <w:lang w:eastAsia="en-US"/>
              </w:rPr>
              <w:t>Sezione 5 - Giustificazione dell’opzione regolatoria proposta e valutazione degli oneri amministrativi e dell’impatto sulle PMI</w:t>
            </w:r>
          </w:p>
        </w:tc>
        <w:tc>
          <w:tcPr>
            <w:tcW w:w="8040" w:type="dxa"/>
            <w:tcBorders>
              <w:top w:val="single" w:sz="4" w:space="0" w:color="auto"/>
              <w:left w:val="single" w:sz="4" w:space="0" w:color="auto"/>
              <w:bottom w:val="single" w:sz="4" w:space="0" w:color="auto"/>
              <w:right w:val="single" w:sz="4" w:space="0" w:color="auto"/>
            </w:tcBorders>
            <w:vAlign w:val="center"/>
          </w:tcPr>
          <w:p w14:paraId="79C67A70" w14:textId="77777777" w:rsidR="005B7F61" w:rsidRDefault="005B7F61" w:rsidP="005B7F61">
            <w:pPr>
              <w:pStyle w:val="Paragrafoelenco"/>
              <w:numPr>
                <w:ilvl w:val="0"/>
                <w:numId w:val="2"/>
              </w:numPr>
              <w:rPr>
                <w:rFonts w:ascii="Goudy Old Style" w:hAnsi="Goudy Old Style"/>
                <w:b/>
                <w:sz w:val="22"/>
                <w:szCs w:val="22"/>
                <w:lang w:eastAsia="en-US"/>
              </w:rPr>
            </w:pPr>
            <w:r>
              <w:rPr>
                <w:rFonts w:ascii="Goudy Old Style" w:hAnsi="Goudy Old Style"/>
                <w:b/>
                <w:sz w:val="22"/>
                <w:szCs w:val="22"/>
                <w:lang w:eastAsia="en-US"/>
              </w:rPr>
              <w:t>Svantaggi e vantaggi dell’opzione prescelta per i destinatari diretti e indiretti</w:t>
            </w:r>
          </w:p>
          <w:p w14:paraId="4E541A97" w14:textId="77777777" w:rsidR="005B7F61" w:rsidRDefault="005B7F61" w:rsidP="000856AA">
            <w:pPr>
              <w:pStyle w:val="Paragrafoelenco"/>
              <w:rPr>
                <w:rFonts w:ascii="Goudy Old Style" w:hAnsi="Goudy Old Style"/>
                <w:b/>
                <w:sz w:val="22"/>
                <w:szCs w:val="22"/>
                <w:lang w:eastAsia="en-US"/>
              </w:rPr>
            </w:pPr>
          </w:p>
          <w:p w14:paraId="0B8CEF19" w14:textId="77777777" w:rsidR="005B7F61" w:rsidRDefault="005B7F61" w:rsidP="000856AA">
            <w:pPr>
              <w:jc w:val="both"/>
              <w:rPr>
                <w:rFonts w:ascii="Goudy Old Style" w:hAnsi="Goudy Old Style"/>
                <w:sz w:val="22"/>
                <w:szCs w:val="22"/>
                <w:lang w:eastAsia="en-US"/>
              </w:rPr>
            </w:pPr>
            <w:r>
              <w:rPr>
                <w:rFonts w:ascii="Goudy Old Style" w:hAnsi="Goudy Old Style"/>
                <w:sz w:val="22"/>
                <w:szCs w:val="22"/>
                <w:lang w:eastAsia="en-US"/>
              </w:rPr>
              <w:t xml:space="preserve">Non sono state considerate e valutate opzioni svantaggiose. </w:t>
            </w:r>
          </w:p>
          <w:p w14:paraId="38BD3633" w14:textId="77777777" w:rsidR="005B7F61" w:rsidRDefault="005B7F61" w:rsidP="000856AA">
            <w:pPr>
              <w:tabs>
                <w:tab w:val="left" w:pos="313"/>
              </w:tabs>
              <w:jc w:val="both"/>
              <w:rPr>
                <w:rFonts w:ascii="Goudy Old Style" w:hAnsi="Goudy Old Style"/>
                <w:sz w:val="22"/>
                <w:szCs w:val="22"/>
                <w:lang w:eastAsia="en-US"/>
              </w:rPr>
            </w:pPr>
            <w:r>
              <w:rPr>
                <w:rFonts w:ascii="Goudy Old Style" w:hAnsi="Goudy Old Style"/>
                <w:sz w:val="22"/>
                <w:szCs w:val="22"/>
                <w:lang w:eastAsia="en-US"/>
              </w:rPr>
              <w:t>L’approvazione della proposta di legge in oggetto arrecherebbe solo vantaggi a tutti i soggetti coinvolti.</w:t>
            </w:r>
          </w:p>
          <w:p w14:paraId="4DD50B22" w14:textId="77777777" w:rsidR="005B7F61" w:rsidRDefault="005B7F61" w:rsidP="000856AA">
            <w:pPr>
              <w:tabs>
                <w:tab w:val="left" w:pos="313"/>
              </w:tabs>
              <w:jc w:val="both"/>
              <w:rPr>
                <w:rFonts w:ascii="Goudy Old Style" w:hAnsi="Goudy Old Style"/>
                <w:sz w:val="22"/>
                <w:szCs w:val="22"/>
                <w:lang w:eastAsia="en-US"/>
              </w:rPr>
            </w:pPr>
            <w:r>
              <w:rPr>
                <w:rFonts w:ascii="Goudy Old Style" w:hAnsi="Goudy Old Style"/>
                <w:sz w:val="22"/>
                <w:szCs w:val="22"/>
                <w:lang w:eastAsia="en-US"/>
              </w:rPr>
              <w:t xml:space="preserve"> Vantaggi per i cittadini:</w:t>
            </w:r>
          </w:p>
          <w:p w14:paraId="0118F192" w14:textId="77777777" w:rsidR="005B7F61" w:rsidRDefault="005B7F61" w:rsidP="000856AA">
            <w:pPr>
              <w:pStyle w:val="Paragrafoelenco"/>
              <w:tabs>
                <w:tab w:val="left" w:pos="313"/>
              </w:tabs>
              <w:ind w:left="0" w:firstLine="277"/>
              <w:jc w:val="both"/>
              <w:rPr>
                <w:rFonts w:ascii="Goudy Old Style" w:hAnsi="Goudy Old Style"/>
                <w:sz w:val="22"/>
                <w:szCs w:val="22"/>
                <w:lang w:eastAsia="en-US"/>
              </w:rPr>
            </w:pPr>
            <w:r>
              <w:rPr>
                <w:rFonts w:ascii="Goudy Old Style" w:hAnsi="Goudy Old Style"/>
                <w:sz w:val="22"/>
                <w:szCs w:val="22"/>
                <w:lang w:eastAsia="en-US"/>
              </w:rPr>
              <w:t>-Garanzia dei diritti e delle prerogative acquisite;</w:t>
            </w:r>
          </w:p>
          <w:p w14:paraId="34F815D4" w14:textId="77777777" w:rsidR="005B7F61" w:rsidRDefault="005B7F61" w:rsidP="000856AA">
            <w:pPr>
              <w:pStyle w:val="Paragrafoelenco"/>
              <w:tabs>
                <w:tab w:val="left" w:pos="313"/>
              </w:tabs>
              <w:ind w:left="0" w:firstLine="277"/>
              <w:jc w:val="both"/>
              <w:rPr>
                <w:rFonts w:ascii="Goudy Old Style" w:hAnsi="Goudy Old Style"/>
                <w:sz w:val="22"/>
                <w:szCs w:val="22"/>
                <w:lang w:eastAsia="en-US"/>
              </w:rPr>
            </w:pPr>
            <w:r>
              <w:rPr>
                <w:rFonts w:ascii="Goudy Old Style" w:hAnsi="Goudy Old Style"/>
                <w:sz w:val="22"/>
                <w:szCs w:val="22"/>
                <w:lang w:eastAsia="en-US"/>
              </w:rPr>
              <w:t>- facilitazione delle procedure burocratiche</w:t>
            </w:r>
          </w:p>
          <w:p w14:paraId="2C6A2ACD" w14:textId="77777777" w:rsidR="005B7F61" w:rsidRDefault="005B7F61" w:rsidP="000856AA">
            <w:pPr>
              <w:pStyle w:val="Paragrafoelenco"/>
              <w:tabs>
                <w:tab w:val="left" w:pos="313"/>
              </w:tabs>
              <w:ind w:left="0" w:firstLine="277"/>
              <w:jc w:val="both"/>
              <w:rPr>
                <w:rFonts w:ascii="Goudy Old Style" w:hAnsi="Goudy Old Style"/>
                <w:sz w:val="22"/>
                <w:szCs w:val="22"/>
                <w:lang w:eastAsia="en-US"/>
              </w:rPr>
            </w:pPr>
            <w:r>
              <w:rPr>
                <w:rFonts w:ascii="Goudy Old Style" w:hAnsi="Goudy Old Style"/>
                <w:sz w:val="22"/>
                <w:szCs w:val="22"/>
                <w:lang w:eastAsia="en-US"/>
              </w:rPr>
              <w:t>- puntualità ed accessibilità anche attraverso tecnologie innovative;</w:t>
            </w:r>
          </w:p>
          <w:p w14:paraId="7FF8D612" w14:textId="77777777" w:rsidR="005B7F61" w:rsidRDefault="005B7F61" w:rsidP="000856AA">
            <w:pPr>
              <w:pStyle w:val="Paragrafoelenco"/>
              <w:tabs>
                <w:tab w:val="left" w:pos="313"/>
              </w:tabs>
              <w:ind w:left="0" w:firstLine="277"/>
              <w:jc w:val="both"/>
              <w:rPr>
                <w:rFonts w:ascii="Goudy Old Style" w:hAnsi="Goudy Old Style"/>
                <w:sz w:val="22"/>
                <w:szCs w:val="22"/>
                <w:lang w:eastAsia="en-US"/>
              </w:rPr>
            </w:pPr>
            <w:r>
              <w:rPr>
                <w:rFonts w:ascii="Goudy Old Style" w:hAnsi="Goudy Old Style"/>
                <w:sz w:val="22"/>
                <w:szCs w:val="22"/>
                <w:lang w:eastAsia="en-US"/>
              </w:rPr>
              <w:t xml:space="preserve">- miglioramento dei servizi </w:t>
            </w:r>
          </w:p>
          <w:p w14:paraId="08395FB3" w14:textId="77777777" w:rsidR="005B7F61" w:rsidRDefault="005B7F61" w:rsidP="000856AA">
            <w:pPr>
              <w:tabs>
                <w:tab w:val="left" w:pos="313"/>
              </w:tabs>
              <w:spacing w:before="120"/>
              <w:jc w:val="both"/>
              <w:rPr>
                <w:rFonts w:ascii="Goudy Old Style" w:hAnsi="Goudy Old Style"/>
                <w:sz w:val="22"/>
                <w:szCs w:val="22"/>
                <w:lang w:eastAsia="en-US"/>
              </w:rPr>
            </w:pPr>
            <w:r>
              <w:rPr>
                <w:rFonts w:ascii="Goudy Old Style" w:hAnsi="Goudy Old Style"/>
                <w:sz w:val="22"/>
                <w:szCs w:val="22"/>
                <w:lang w:eastAsia="en-US"/>
              </w:rPr>
              <w:t>2) Vantaggi per il territorio</w:t>
            </w:r>
          </w:p>
          <w:p w14:paraId="1C190828" w14:textId="77777777" w:rsidR="005B7F61" w:rsidRDefault="005B7F61" w:rsidP="000856AA">
            <w:pPr>
              <w:tabs>
                <w:tab w:val="left" w:pos="313"/>
              </w:tabs>
              <w:ind w:firstLine="277"/>
              <w:jc w:val="both"/>
              <w:rPr>
                <w:rFonts w:ascii="Goudy Old Style" w:hAnsi="Goudy Old Style"/>
                <w:sz w:val="22"/>
                <w:szCs w:val="22"/>
                <w:lang w:eastAsia="en-US"/>
              </w:rPr>
            </w:pPr>
            <w:r>
              <w:rPr>
                <w:rFonts w:ascii="Goudy Old Style" w:hAnsi="Goudy Old Style"/>
                <w:sz w:val="22"/>
                <w:szCs w:val="22"/>
                <w:lang w:eastAsia="en-US"/>
              </w:rPr>
              <w:t>- Adeguamento procedure amministrative</w:t>
            </w:r>
          </w:p>
          <w:p w14:paraId="075AADDE" w14:textId="77777777" w:rsidR="005B7F61" w:rsidRDefault="005B7F61" w:rsidP="000856AA">
            <w:pPr>
              <w:tabs>
                <w:tab w:val="left" w:pos="313"/>
              </w:tabs>
              <w:ind w:firstLine="277"/>
              <w:jc w:val="both"/>
              <w:rPr>
                <w:rFonts w:ascii="Goudy Old Style" w:hAnsi="Goudy Old Style"/>
                <w:sz w:val="22"/>
                <w:szCs w:val="22"/>
                <w:lang w:eastAsia="en-US"/>
              </w:rPr>
            </w:pPr>
            <w:r>
              <w:rPr>
                <w:rFonts w:ascii="Goudy Old Style" w:hAnsi="Goudy Old Style"/>
                <w:sz w:val="22"/>
                <w:szCs w:val="22"/>
                <w:lang w:eastAsia="en-US"/>
              </w:rPr>
              <w:t>Corretta gestione delle funzioni di governo</w:t>
            </w:r>
          </w:p>
          <w:p w14:paraId="3CCCCE21" w14:textId="77777777" w:rsidR="005B7F61" w:rsidRDefault="005B7F61" w:rsidP="000856AA">
            <w:pPr>
              <w:jc w:val="both"/>
              <w:rPr>
                <w:rFonts w:ascii="Goudy Old Style" w:hAnsi="Goudy Old Style"/>
                <w:sz w:val="22"/>
                <w:szCs w:val="22"/>
                <w:lang w:eastAsia="en-US"/>
              </w:rPr>
            </w:pPr>
          </w:p>
          <w:p w14:paraId="180C8F79" w14:textId="77777777" w:rsidR="005B7F61" w:rsidRDefault="005B7F61" w:rsidP="005B7F61">
            <w:pPr>
              <w:pStyle w:val="Paragrafoelenco"/>
              <w:numPr>
                <w:ilvl w:val="0"/>
                <w:numId w:val="2"/>
              </w:numPr>
              <w:tabs>
                <w:tab w:val="left" w:pos="364"/>
              </w:tabs>
              <w:ind w:left="0" w:firstLine="0"/>
              <w:rPr>
                <w:rFonts w:ascii="Goudy Old Style" w:hAnsi="Goudy Old Style"/>
                <w:b/>
                <w:sz w:val="22"/>
                <w:szCs w:val="22"/>
                <w:lang w:eastAsia="en-US"/>
              </w:rPr>
            </w:pPr>
            <w:r>
              <w:rPr>
                <w:rFonts w:ascii="Goudy Old Style" w:hAnsi="Goudy Old Style"/>
                <w:b/>
                <w:sz w:val="22"/>
                <w:szCs w:val="22"/>
                <w:lang w:eastAsia="en-US"/>
              </w:rPr>
              <w:t>Individuazione e stima degli effetti dell’opzione prescelta sulle micro, piccole e medie imprese.</w:t>
            </w:r>
          </w:p>
          <w:p w14:paraId="34E8D360" w14:textId="77777777" w:rsidR="005B7F61" w:rsidRDefault="005B7F61" w:rsidP="000856AA">
            <w:pPr>
              <w:tabs>
                <w:tab w:val="left" w:pos="364"/>
              </w:tabs>
              <w:rPr>
                <w:rFonts w:ascii="Goudy Old Style" w:hAnsi="Goudy Old Style"/>
                <w:sz w:val="22"/>
                <w:szCs w:val="22"/>
                <w:lang w:eastAsia="en-US"/>
              </w:rPr>
            </w:pPr>
          </w:p>
          <w:p w14:paraId="6301C91D" w14:textId="77777777" w:rsidR="005B7F61" w:rsidRDefault="005B7F61" w:rsidP="000856AA">
            <w:pPr>
              <w:tabs>
                <w:tab w:val="left" w:pos="364"/>
              </w:tabs>
              <w:rPr>
                <w:rFonts w:ascii="Goudy Old Style" w:hAnsi="Goudy Old Style"/>
                <w:color w:val="000000" w:themeColor="text1"/>
                <w:sz w:val="22"/>
                <w:szCs w:val="22"/>
                <w:lang w:eastAsia="en-US"/>
              </w:rPr>
            </w:pPr>
            <w:r>
              <w:rPr>
                <w:rFonts w:ascii="Goudy Old Style" w:hAnsi="Goudy Old Style"/>
                <w:color w:val="000000" w:themeColor="text1"/>
                <w:sz w:val="22"/>
                <w:szCs w:val="22"/>
                <w:lang w:eastAsia="en-US"/>
              </w:rPr>
              <w:t xml:space="preserve">Trattasi di micro e medio imprese a carattere familiare e non che, sicuramente, troverebbero miglioramenti economici. Una perfetta sinergia tra le due forme di trasporto (linea e non di linea) creerebbe nuove opportunità di lavoro ed un relativo miglioramento dell’indotto.  </w:t>
            </w:r>
          </w:p>
          <w:p w14:paraId="568D4310" w14:textId="77777777" w:rsidR="005B7F61" w:rsidRDefault="005B7F61" w:rsidP="000856AA">
            <w:pPr>
              <w:tabs>
                <w:tab w:val="left" w:pos="364"/>
              </w:tabs>
              <w:rPr>
                <w:rFonts w:ascii="Goudy Old Style" w:hAnsi="Goudy Old Style"/>
                <w:color w:val="FF0000"/>
                <w:sz w:val="22"/>
                <w:szCs w:val="22"/>
                <w:lang w:eastAsia="en-US"/>
              </w:rPr>
            </w:pPr>
          </w:p>
          <w:p w14:paraId="04529B60" w14:textId="77777777" w:rsidR="005B7F61" w:rsidRDefault="005B7F61" w:rsidP="005B7F61">
            <w:pPr>
              <w:pStyle w:val="Paragrafoelenco"/>
              <w:numPr>
                <w:ilvl w:val="0"/>
                <w:numId w:val="2"/>
              </w:numPr>
              <w:tabs>
                <w:tab w:val="left" w:pos="364"/>
              </w:tabs>
              <w:ind w:left="0" w:firstLine="0"/>
              <w:jc w:val="both"/>
              <w:rPr>
                <w:rFonts w:ascii="Goudy Old Style" w:hAnsi="Goudy Old Style"/>
                <w:b/>
                <w:sz w:val="22"/>
                <w:szCs w:val="22"/>
                <w:lang w:eastAsia="en-US"/>
              </w:rPr>
            </w:pPr>
            <w:r>
              <w:rPr>
                <w:rFonts w:ascii="Goudy Old Style" w:hAnsi="Goudy Old Style"/>
                <w:b/>
                <w:sz w:val="22"/>
                <w:szCs w:val="22"/>
                <w:lang w:eastAsia="en-US"/>
              </w:rPr>
              <w:t>Indicazione e stima degli oneri informativi e dei relativi costi amministrativi, introdotti o eliminati a carico dei cittadini e imprese.</w:t>
            </w:r>
          </w:p>
          <w:p w14:paraId="701F6E31" w14:textId="77777777" w:rsidR="005B7F61" w:rsidRDefault="005B7F61" w:rsidP="000856AA">
            <w:pPr>
              <w:jc w:val="both"/>
              <w:rPr>
                <w:rFonts w:ascii="Goudy Old Style" w:hAnsi="Goudy Old Style"/>
                <w:b/>
                <w:sz w:val="22"/>
                <w:szCs w:val="22"/>
                <w:lang w:eastAsia="en-US"/>
              </w:rPr>
            </w:pPr>
            <w:r>
              <w:rPr>
                <w:rFonts w:ascii="Goudy Old Style" w:hAnsi="Goudy Old Style"/>
                <w:b/>
                <w:sz w:val="22"/>
                <w:szCs w:val="22"/>
                <w:lang w:eastAsia="en-US"/>
              </w:rPr>
              <w:t>Per onere informativo si intende qualunque tipologia di adempimento comportante raccolta, elaborazione, trasmissione, conservazione e produzione di informazioni, comunicazioni e documenti alla pubblica amministrazione</w:t>
            </w:r>
          </w:p>
          <w:p w14:paraId="00D3301C" w14:textId="77777777" w:rsidR="005B7F61" w:rsidRDefault="005B7F61" w:rsidP="000856AA">
            <w:pPr>
              <w:rPr>
                <w:rFonts w:ascii="Goudy Old Style" w:hAnsi="Goudy Old Style"/>
                <w:sz w:val="22"/>
                <w:szCs w:val="22"/>
                <w:lang w:eastAsia="en-US"/>
              </w:rPr>
            </w:pPr>
          </w:p>
          <w:p w14:paraId="40E961A3" w14:textId="77777777" w:rsidR="005B7F61" w:rsidRDefault="005B7F61" w:rsidP="000856AA">
            <w:pPr>
              <w:jc w:val="both"/>
              <w:rPr>
                <w:rFonts w:ascii="Goudy Old Style" w:hAnsi="Goudy Old Style"/>
                <w:sz w:val="22"/>
                <w:szCs w:val="22"/>
                <w:lang w:eastAsia="en-US"/>
              </w:rPr>
            </w:pPr>
            <w:r>
              <w:rPr>
                <w:rFonts w:ascii="Goudy Old Style" w:hAnsi="Goudy Old Style"/>
                <w:sz w:val="22"/>
                <w:szCs w:val="22"/>
                <w:lang w:eastAsia="en-US"/>
              </w:rPr>
              <w:t xml:space="preserve">L’impatto dal punto di vista degli oneri informativi e dei relativi costi amministrativi introdotti a carico di cittadini è pari a zero. </w:t>
            </w:r>
          </w:p>
          <w:p w14:paraId="54537E49" w14:textId="77777777" w:rsidR="005B7F61" w:rsidRDefault="005B7F61" w:rsidP="000856AA">
            <w:pPr>
              <w:jc w:val="both"/>
              <w:rPr>
                <w:rFonts w:ascii="Goudy Old Style" w:hAnsi="Goudy Old Style"/>
                <w:sz w:val="22"/>
                <w:szCs w:val="22"/>
                <w:lang w:eastAsia="en-US"/>
              </w:rPr>
            </w:pPr>
          </w:p>
          <w:p w14:paraId="2220942F" w14:textId="77777777" w:rsidR="005B7F61" w:rsidRDefault="005B7F61" w:rsidP="000856AA">
            <w:pPr>
              <w:rPr>
                <w:rFonts w:ascii="Goudy Old Style" w:hAnsi="Goudy Old Style"/>
                <w:sz w:val="22"/>
                <w:szCs w:val="22"/>
                <w:lang w:eastAsia="en-US"/>
              </w:rPr>
            </w:pPr>
            <w:r>
              <w:rPr>
                <w:rFonts w:ascii="Goudy Old Style" w:hAnsi="Goudy Old Style"/>
                <w:sz w:val="22"/>
                <w:szCs w:val="22"/>
                <w:lang w:eastAsia="en-US"/>
              </w:rPr>
              <w:lastRenderedPageBreak/>
              <w:t xml:space="preserve">Dall’attuazione della presente Legge non derivano nuovi o maggiori oneri a carico del bilancio regionale.  </w:t>
            </w:r>
          </w:p>
          <w:p w14:paraId="56E1847F" w14:textId="77777777" w:rsidR="005B7F61" w:rsidRDefault="005B7F61" w:rsidP="000856AA">
            <w:pPr>
              <w:jc w:val="both"/>
              <w:rPr>
                <w:rFonts w:ascii="Goudy Old Style" w:hAnsi="Goudy Old Style"/>
                <w:color w:val="FF0000"/>
                <w:sz w:val="22"/>
                <w:szCs w:val="22"/>
                <w:lang w:eastAsia="en-US"/>
              </w:rPr>
            </w:pPr>
          </w:p>
        </w:tc>
      </w:tr>
      <w:tr w:rsidR="005B7F61" w14:paraId="1B89A45A" w14:textId="77777777" w:rsidTr="000856AA">
        <w:tc>
          <w:tcPr>
            <w:tcW w:w="1878" w:type="dxa"/>
            <w:tcBorders>
              <w:top w:val="single" w:sz="4" w:space="0" w:color="auto"/>
              <w:left w:val="single" w:sz="4" w:space="0" w:color="auto"/>
              <w:bottom w:val="single" w:sz="4" w:space="0" w:color="auto"/>
              <w:right w:val="single" w:sz="4" w:space="0" w:color="auto"/>
            </w:tcBorders>
            <w:vAlign w:val="center"/>
            <w:hideMark/>
          </w:tcPr>
          <w:p w14:paraId="659FE7BC" w14:textId="77777777" w:rsidR="005B7F61" w:rsidRDefault="005B7F61" w:rsidP="000856AA">
            <w:pPr>
              <w:rPr>
                <w:rFonts w:ascii="Goudy Old Style" w:hAnsi="Goudy Old Style"/>
                <w:b/>
                <w:sz w:val="22"/>
                <w:szCs w:val="22"/>
                <w:lang w:eastAsia="en-US"/>
              </w:rPr>
            </w:pPr>
            <w:r>
              <w:rPr>
                <w:rFonts w:ascii="Goudy Old Style" w:hAnsi="Goudy Old Style"/>
                <w:b/>
                <w:sz w:val="22"/>
                <w:szCs w:val="22"/>
                <w:lang w:eastAsia="en-US"/>
              </w:rPr>
              <w:lastRenderedPageBreak/>
              <w:t>Sezione 7 - Modalità attuative dell’intervento di regolamentazione</w:t>
            </w:r>
          </w:p>
        </w:tc>
        <w:tc>
          <w:tcPr>
            <w:tcW w:w="8040" w:type="dxa"/>
            <w:tcBorders>
              <w:top w:val="single" w:sz="4" w:space="0" w:color="auto"/>
              <w:left w:val="single" w:sz="4" w:space="0" w:color="auto"/>
              <w:bottom w:val="single" w:sz="4" w:space="0" w:color="auto"/>
              <w:right w:val="single" w:sz="4" w:space="0" w:color="auto"/>
            </w:tcBorders>
            <w:vAlign w:val="center"/>
          </w:tcPr>
          <w:p w14:paraId="428A15A0" w14:textId="77777777" w:rsidR="005B7F61" w:rsidRDefault="005B7F61" w:rsidP="005B7F61">
            <w:pPr>
              <w:pStyle w:val="Paragrafoelenco"/>
              <w:numPr>
                <w:ilvl w:val="0"/>
                <w:numId w:val="3"/>
              </w:numPr>
              <w:tabs>
                <w:tab w:val="left" w:pos="364"/>
              </w:tabs>
              <w:ind w:left="-6" w:firstLine="0"/>
              <w:rPr>
                <w:rFonts w:ascii="Goudy Old Style" w:hAnsi="Goudy Old Style"/>
                <w:b/>
                <w:sz w:val="22"/>
                <w:szCs w:val="22"/>
                <w:lang w:eastAsia="en-US"/>
              </w:rPr>
            </w:pPr>
            <w:r>
              <w:rPr>
                <w:rFonts w:ascii="Goudy Old Style" w:hAnsi="Goudy Old Style"/>
                <w:b/>
                <w:sz w:val="22"/>
                <w:szCs w:val="22"/>
                <w:lang w:eastAsia="en-US"/>
              </w:rPr>
              <w:t>Soggetti responsabili dell’attuazione dell’intervento regolatorio</w:t>
            </w:r>
          </w:p>
          <w:p w14:paraId="466C7E68" w14:textId="77777777" w:rsidR="005B7F61" w:rsidRDefault="005B7F61" w:rsidP="000856AA">
            <w:pPr>
              <w:tabs>
                <w:tab w:val="left" w:pos="274"/>
              </w:tabs>
              <w:ind w:left="-6"/>
              <w:jc w:val="both"/>
              <w:rPr>
                <w:rFonts w:ascii="Goudy Old Style" w:hAnsi="Goudy Old Style"/>
                <w:sz w:val="22"/>
                <w:szCs w:val="22"/>
                <w:u w:val="single"/>
                <w:lang w:eastAsia="en-US"/>
              </w:rPr>
            </w:pPr>
            <w:r>
              <w:rPr>
                <w:rFonts w:ascii="Goudy Old Style" w:hAnsi="Goudy Old Style"/>
                <w:sz w:val="22"/>
                <w:szCs w:val="22"/>
                <w:lang w:eastAsia="en-US"/>
              </w:rPr>
              <w:t xml:space="preserve"> La concretizzazione delle disposizioni previste dall’intervento normativo è demandata alla Giunta regionale, d’intesa con i Comuni della Regione.</w:t>
            </w:r>
          </w:p>
          <w:p w14:paraId="4B3A291B" w14:textId="77777777" w:rsidR="005B7F61" w:rsidRDefault="005B7F61" w:rsidP="000856AA">
            <w:pPr>
              <w:tabs>
                <w:tab w:val="left" w:pos="274"/>
              </w:tabs>
              <w:ind w:left="-6"/>
              <w:jc w:val="both"/>
              <w:rPr>
                <w:rFonts w:ascii="Goudy Old Style" w:hAnsi="Goudy Old Style"/>
                <w:b/>
                <w:color w:val="FF0000"/>
                <w:sz w:val="22"/>
                <w:szCs w:val="22"/>
                <w:lang w:eastAsia="en-US"/>
              </w:rPr>
            </w:pPr>
          </w:p>
          <w:p w14:paraId="1147DC09" w14:textId="77777777" w:rsidR="005B7F61" w:rsidRDefault="005B7F61" w:rsidP="005B7F61">
            <w:pPr>
              <w:pStyle w:val="Paragrafoelenco"/>
              <w:numPr>
                <w:ilvl w:val="0"/>
                <w:numId w:val="3"/>
              </w:numPr>
              <w:tabs>
                <w:tab w:val="left" w:pos="274"/>
              </w:tabs>
              <w:ind w:left="-6" w:firstLine="0"/>
              <w:rPr>
                <w:rFonts w:ascii="Goudy Old Style" w:hAnsi="Goudy Old Style"/>
                <w:b/>
                <w:sz w:val="22"/>
                <w:szCs w:val="22"/>
                <w:lang w:eastAsia="en-US"/>
              </w:rPr>
            </w:pPr>
            <w:r>
              <w:rPr>
                <w:rFonts w:ascii="Goudy Old Style" w:hAnsi="Goudy Old Style"/>
                <w:b/>
                <w:sz w:val="22"/>
                <w:szCs w:val="22"/>
                <w:lang w:eastAsia="en-US"/>
              </w:rPr>
              <w:t>Azioni per la pubblicità e per l’informazione dell’intervento</w:t>
            </w:r>
          </w:p>
          <w:p w14:paraId="0CD0F5FA" w14:textId="77777777" w:rsidR="005B7F61" w:rsidRDefault="005B7F61" w:rsidP="000856AA">
            <w:pPr>
              <w:pStyle w:val="Paragrafoelenco"/>
              <w:tabs>
                <w:tab w:val="left" w:pos="274"/>
              </w:tabs>
              <w:ind w:left="-6"/>
              <w:rPr>
                <w:rFonts w:ascii="Goudy Old Style" w:hAnsi="Goudy Old Style"/>
                <w:b/>
                <w:sz w:val="22"/>
                <w:szCs w:val="22"/>
                <w:lang w:eastAsia="en-US"/>
              </w:rPr>
            </w:pPr>
          </w:p>
          <w:p w14:paraId="47792DD8" w14:textId="77777777" w:rsidR="005B7F61" w:rsidRDefault="005B7F61" w:rsidP="000856AA">
            <w:pPr>
              <w:tabs>
                <w:tab w:val="left" w:pos="274"/>
              </w:tabs>
              <w:ind w:left="-6"/>
              <w:jc w:val="both"/>
              <w:rPr>
                <w:rFonts w:ascii="Goudy Old Style" w:hAnsi="Goudy Old Style"/>
                <w:sz w:val="22"/>
                <w:szCs w:val="22"/>
                <w:u w:val="single"/>
                <w:lang w:eastAsia="en-US"/>
              </w:rPr>
            </w:pPr>
            <w:r>
              <w:rPr>
                <w:rFonts w:ascii="Goudy Old Style" w:hAnsi="Goudy Old Style"/>
                <w:sz w:val="22"/>
                <w:szCs w:val="22"/>
                <w:lang w:eastAsia="en-US"/>
              </w:rPr>
              <w:t>Oltre alla consueta pubblicazione nel BURC, la Regione assicura la divulgazione, attraverso gli strumenti informativi, anche su piattaforma digitale.</w:t>
            </w:r>
          </w:p>
          <w:p w14:paraId="0EE08FE3" w14:textId="77777777" w:rsidR="005B7F61" w:rsidRDefault="005B7F61" w:rsidP="000856AA">
            <w:pPr>
              <w:tabs>
                <w:tab w:val="left" w:pos="274"/>
              </w:tabs>
              <w:ind w:left="-6"/>
              <w:rPr>
                <w:rFonts w:ascii="Goudy Old Style" w:hAnsi="Goudy Old Style"/>
                <w:color w:val="FF0000"/>
                <w:sz w:val="22"/>
                <w:szCs w:val="22"/>
                <w:lang w:eastAsia="en-US"/>
              </w:rPr>
            </w:pPr>
          </w:p>
          <w:p w14:paraId="57FCB7D4" w14:textId="77777777" w:rsidR="005B7F61" w:rsidRDefault="005B7F61" w:rsidP="005B7F61">
            <w:pPr>
              <w:pStyle w:val="Paragrafoelenco"/>
              <w:numPr>
                <w:ilvl w:val="0"/>
                <w:numId w:val="3"/>
              </w:numPr>
              <w:tabs>
                <w:tab w:val="left" w:pos="274"/>
              </w:tabs>
              <w:ind w:left="-6" w:firstLine="0"/>
              <w:rPr>
                <w:rFonts w:ascii="Goudy Old Style" w:hAnsi="Goudy Old Style"/>
                <w:b/>
                <w:sz w:val="22"/>
                <w:szCs w:val="22"/>
                <w:lang w:eastAsia="en-US"/>
              </w:rPr>
            </w:pPr>
            <w:r>
              <w:rPr>
                <w:rFonts w:ascii="Goudy Old Style" w:hAnsi="Goudy Old Style"/>
                <w:b/>
                <w:sz w:val="22"/>
                <w:szCs w:val="22"/>
                <w:lang w:eastAsia="en-US"/>
              </w:rPr>
              <w:t>Strumenti e modalità per il controllo e il monitoraggio dell’intervento regolatorio</w:t>
            </w:r>
          </w:p>
          <w:p w14:paraId="15251AFB" w14:textId="77777777" w:rsidR="005B7F61" w:rsidRDefault="005B7F61" w:rsidP="000856AA">
            <w:pPr>
              <w:pStyle w:val="Paragrafoelenco"/>
              <w:tabs>
                <w:tab w:val="left" w:pos="274"/>
              </w:tabs>
              <w:rPr>
                <w:rFonts w:ascii="Goudy Old Style" w:hAnsi="Goudy Old Style"/>
                <w:b/>
                <w:sz w:val="22"/>
                <w:szCs w:val="22"/>
                <w:lang w:eastAsia="en-US"/>
              </w:rPr>
            </w:pPr>
          </w:p>
          <w:p w14:paraId="4B88D64A" w14:textId="77777777" w:rsidR="005B7F61" w:rsidRDefault="005B7F61" w:rsidP="000856AA">
            <w:pPr>
              <w:tabs>
                <w:tab w:val="left" w:pos="274"/>
              </w:tabs>
              <w:rPr>
                <w:rFonts w:ascii="Goudy Old Style" w:hAnsi="Goudy Old Style"/>
                <w:bCs/>
                <w:sz w:val="22"/>
                <w:szCs w:val="22"/>
                <w:lang w:eastAsia="en-US"/>
              </w:rPr>
            </w:pPr>
            <w:r>
              <w:rPr>
                <w:rFonts w:ascii="Goudy Old Style" w:hAnsi="Goudy Old Style"/>
                <w:bCs/>
                <w:sz w:val="22"/>
                <w:szCs w:val="22"/>
                <w:lang w:eastAsia="en-US"/>
              </w:rPr>
              <w:t>L’attività di analisi e controllo sullo stato di attuazione della norma è implicitamente affidata alla regione Campania.</w:t>
            </w:r>
          </w:p>
          <w:p w14:paraId="5B91BD2E" w14:textId="77777777" w:rsidR="005B7F61" w:rsidRDefault="005B7F61" w:rsidP="000856AA">
            <w:pPr>
              <w:tabs>
                <w:tab w:val="left" w:pos="274"/>
              </w:tabs>
              <w:rPr>
                <w:rFonts w:ascii="Goudy Old Style" w:hAnsi="Goudy Old Style"/>
                <w:sz w:val="22"/>
                <w:szCs w:val="22"/>
                <w:lang w:eastAsia="en-US"/>
              </w:rPr>
            </w:pPr>
          </w:p>
          <w:p w14:paraId="011387EC" w14:textId="77777777" w:rsidR="005B7F61" w:rsidRDefault="005B7F61" w:rsidP="005B7F61">
            <w:pPr>
              <w:pStyle w:val="Paragrafoelenco"/>
              <w:numPr>
                <w:ilvl w:val="0"/>
                <w:numId w:val="3"/>
              </w:numPr>
              <w:tabs>
                <w:tab w:val="left" w:pos="274"/>
              </w:tabs>
              <w:ind w:left="0" w:firstLine="0"/>
              <w:rPr>
                <w:rFonts w:ascii="Goudy Old Style" w:hAnsi="Goudy Old Style"/>
                <w:b/>
                <w:sz w:val="22"/>
                <w:szCs w:val="22"/>
                <w:lang w:eastAsia="en-US"/>
              </w:rPr>
            </w:pPr>
            <w:r>
              <w:rPr>
                <w:rFonts w:ascii="Goudy Old Style" w:hAnsi="Goudy Old Style"/>
                <w:b/>
                <w:sz w:val="22"/>
                <w:szCs w:val="22"/>
                <w:lang w:eastAsia="en-US"/>
              </w:rPr>
              <w:t>Meccanismi previsti per la revisione dell’intervento regolatorio</w:t>
            </w:r>
          </w:p>
          <w:p w14:paraId="65522606" w14:textId="77777777" w:rsidR="005B7F61" w:rsidRDefault="005B7F61" w:rsidP="000856AA">
            <w:pPr>
              <w:jc w:val="both"/>
              <w:rPr>
                <w:rFonts w:ascii="Goudy Old Style" w:hAnsi="Goudy Old Style"/>
                <w:color w:val="FF0000"/>
                <w:sz w:val="22"/>
                <w:szCs w:val="22"/>
                <w:lang w:eastAsia="en-US"/>
              </w:rPr>
            </w:pPr>
            <w:r>
              <w:rPr>
                <w:rFonts w:ascii="Goudy Old Style" w:hAnsi="Goudy Old Style"/>
                <w:color w:val="000000" w:themeColor="text1"/>
                <w:sz w:val="22"/>
                <w:szCs w:val="22"/>
                <w:lang w:eastAsia="en-US"/>
              </w:rPr>
              <w:t xml:space="preserve">L’intervento normativo non è corredato da una clausola valutativa   </w:t>
            </w:r>
          </w:p>
        </w:tc>
      </w:tr>
      <w:tr w:rsidR="005B7F61" w14:paraId="5EBBE6D6" w14:textId="77777777" w:rsidTr="000856AA">
        <w:trPr>
          <w:trHeight w:val="1034"/>
        </w:trPr>
        <w:tc>
          <w:tcPr>
            <w:tcW w:w="1878" w:type="dxa"/>
            <w:tcBorders>
              <w:top w:val="single" w:sz="4" w:space="0" w:color="auto"/>
              <w:left w:val="single" w:sz="4" w:space="0" w:color="auto"/>
              <w:bottom w:val="single" w:sz="4" w:space="0" w:color="auto"/>
              <w:right w:val="single" w:sz="4" w:space="0" w:color="auto"/>
            </w:tcBorders>
            <w:vAlign w:val="center"/>
            <w:hideMark/>
          </w:tcPr>
          <w:p w14:paraId="0A72CC6B" w14:textId="77777777" w:rsidR="005B7F61" w:rsidRDefault="005B7F61" w:rsidP="000856AA">
            <w:pPr>
              <w:rPr>
                <w:rFonts w:ascii="Goudy Old Style" w:hAnsi="Goudy Old Style"/>
                <w:b/>
                <w:sz w:val="22"/>
                <w:szCs w:val="22"/>
                <w:lang w:eastAsia="en-US"/>
              </w:rPr>
            </w:pPr>
            <w:r>
              <w:rPr>
                <w:rFonts w:ascii="Goudy Old Style" w:hAnsi="Goudy Old Style"/>
                <w:b/>
                <w:sz w:val="22"/>
                <w:szCs w:val="22"/>
                <w:lang w:eastAsia="en-US"/>
              </w:rPr>
              <w:t>Sezione 8 - Rispetto dei livelli minimi di regolazione europea</w:t>
            </w:r>
          </w:p>
        </w:tc>
        <w:tc>
          <w:tcPr>
            <w:tcW w:w="8040" w:type="dxa"/>
            <w:tcBorders>
              <w:top w:val="single" w:sz="4" w:space="0" w:color="auto"/>
              <w:left w:val="single" w:sz="4" w:space="0" w:color="auto"/>
              <w:bottom w:val="single" w:sz="4" w:space="0" w:color="auto"/>
              <w:right w:val="single" w:sz="4" w:space="0" w:color="auto"/>
            </w:tcBorders>
            <w:vAlign w:val="center"/>
          </w:tcPr>
          <w:p w14:paraId="7118CF6D" w14:textId="77777777" w:rsidR="005B7F61" w:rsidRDefault="005B7F61" w:rsidP="000856AA">
            <w:pPr>
              <w:rPr>
                <w:rFonts w:ascii="Goudy Old Style" w:hAnsi="Goudy Old Style"/>
                <w:sz w:val="22"/>
                <w:szCs w:val="22"/>
                <w:lang w:eastAsia="en-US"/>
              </w:rPr>
            </w:pPr>
            <w:r>
              <w:rPr>
                <w:rFonts w:ascii="Goudy Old Style" w:hAnsi="Goudy Old Style"/>
                <w:sz w:val="22"/>
                <w:szCs w:val="22"/>
                <w:lang w:eastAsia="en-US"/>
              </w:rPr>
              <w:t>L’intervento regolatorio rispetta i livelli minimi di regolazione europea.</w:t>
            </w:r>
          </w:p>
          <w:p w14:paraId="5FDA8F64" w14:textId="77777777" w:rsidR="005B7F61" w:rsidRDefault="005B7F61" w:rsidP="000856AA">
            <w:pPr>
              <w:jc w:val="both"/>
              <w:rPr>
                <w:rFonts w:ascii="Goudy Old Style" w:hAnsi="Goudy Old Style"/>
                <w:color w:val="FF0000"/>
                <w:sz w:val="22"/>
                <w:szCs w:val="22"/>
                <w:lang w:eastAsia="en-US"/>
              </w:rPr>
            </w:pPr>
          </w:p>
        </w:tc>
      </w:tr>
    </w:tbl>
    <w:p w14:paraId="69939514" w14:textId="77777777" w:rsidR="005B7F61" w:rsidRDefault="005B7F61" w:rsidP="005B7F61">
      <w:pPr>
        <w:rPr>
          <w:rFonts w:ascii="Goudy Old Style" w:hAnsi="Goudy Old Style"/>
          <w:sz w:val="22"/>
          <w:szCs w:val="22"/>
        </w:rPr>
      </w:pPr>
    </w:p>
    <w:p w14:paraId="571562B7" w14:textId="77777777" w:rsidR="00B44850" w:rsidRDefault="00B44850" w:rsidP="00B44850">
      <w:pPr>
        <w:tabs>
          <w:tab w:val="center" w:pos="4819"/>
          <w:tab w:val="left" w:pos="8205"/>
        </w:tabs>
      </w:pPr>
    </w:p>
    <w:p w14:paraId="6A78DD52" w14:textId="77777777" w:rsidR="00B44850" w:rsidRDefault="00B44850" w:rsidP="00B44850">
      <w:pPr>
        <w:tabs>
          <w:tab w:val="center" w:pos="4819"/>
          <w:tab w:val="left" w:pos="8205"/>
        </w:tabs>
      </w:pPr>
      <w:r>
        <w:tab/>
      </w:r>
    </w:p>
    <w:p w14:paraId="49013B80" w14:textId="125EA572" w:rsidR="00B44850" w:rsidRPr="0062048C" w:rsidRDefault="00B44850" w:rsidP="005B7F61">
      <w:pPr>
        <w:tabs>
          <w:tab w:val="center" w:pos="4819"/>
          <w:tab w:val="left" w:pos="8205"/>
        </w:tabs>
        <w:rPr>
          <w:i/>
        </w:rPr>
      </w:pPr>
      <w:r>
        <w:tab/>
      </w:r>
    </w:p>
    <w:p w14:paraId="78FE5D8D" w14:textId="714EA602" w:rsidR="00162B7D" w:rsidRDefault="00162B7D" w:rsidP="00435907">
      <w:pPr>
        <w:ind w:right="566"/>
        <w:rPr>
          <w:b/>
          <w:bCs/>
        </w:rPr>
      </w:pPr>
    </w:p>
    <w:p w14:paraId="329048B5" w14:textId="194DF22B" w:rsidR="00525234" w:rsidRPr="00525234" w:rsidRDefault="00525234" w:rsidP="00525234">
      <w:pPr>
        <w:spacing w:after="160" w:line="259" w:lineRule="auto"/>
        <w:jc w:val="right"/>
        <w:rPr>
          <w:rFonts w:asciiTheme="minorHAnsi" w:eastAsiaTheme="minorHAnsi" w:hAnsiTheme="minorHAnsi" w:cstheme="minorBidi"/>
          <w:sz w:val="28"/>
          <w:szCs w:val="28"/>
          <w:lang w:eastAsia="en-US"/>
        </w:rPr>
      </w:pPr>
    </w:p>
    <w:p w14:paraId="644203B2" w14:textId="77777777" w:rsidR="00525234" w:rsidRPr="00525234" w:rsidRDefault="00525234" w:rsidP="00525234">
      <w:pPr>
        <w:spacing w:after="160" w:line="259" w:lineRule="auto"/>
        <w:rPr>
          <w:rFonts w:asciiTheme="minorHAnsi" w:eastAsiaTheme="minorHAnsi" w:hAnsiTheme="minorHAnsi" w:cstheme="minorBidi"/>
          <w:sz w:val="28"/>
          <w:szCs w:val="28"/>
          <w:lang w:eastAsia="en-US"/>
        </w:rPr>
      </w:pPr>
    </w:p>
    <w:p w14:paraId="47D9FA4C" w14:textId="77777777" w:rsidR="00525234" w:rsidRDefault="00525234" w:rsidP="00162B7D">
      <w:pPr>
        <w:ind w:left="284" w:right="566"/>
        <w:rPr>
          <w:b/>
          <w:bCs/>
        </w:rPr>
      </w:pPr>
    </w:p>
    <w:sectPr w:rsidR="0052523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D111B"/>
    <w:multiLevelType w:val="hybridMultilevel"/>
    <w:tmpl w:val="B412B63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6AA5F5E"/>
    <w:multiLevelType w:val="hybridMultilevel"/>
    <w:tmpl w:val="5D96C34A"/>
    <w:lvl w:ilvl="0" w:tplc="04100017">
      <w:start w:val="1"/>
      <w:numFmt w:val="lowerLetter"/>
      <w:lvlText w:val="%1)"/>
      <w:lvlJc w:val="left"/>
      <w:pPr>
        <w:ind w:left="720" w:hanging="360"/>
      </w:pPr>
      <w:rPr>
        <w:rFonts w:hint="default"/>
      </w:rPr>
    </w:lvl>
    <w:lvl w:ilvl="1" w:tplc="6C021942">
      <w:numFmt w:val="bullet"/>
      <w:lvlText w:val="•"/>
      <w:lvlJc w:val="left"/>
      <w:pPr>
        <w:ind w:left="1440" w:hanging="360"/>
      </w:pPr>
      <w:rPr>
        <w:rFonts w:ascii="Times New Roman" w:eastAsiaTheme="minorHAnsi"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09C57D1"/>
    <w:multiLevelType w:val="hybridMultilevel"/>
    <w:tmpl w:val="1E2038B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48951770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30785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89766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C47"/>
    <w:rsid w:val="00162B7D"/>
    <w:rsid w:val="002966E5"/>
    <w:rsid w:val="002C19BD"/>
    <w:rsid w:val="004074CC"/>
    <w:rsid w:val="00410BD7"/>
    <w:rsid w:val="00435907"/>
    <w:rsid w:val="00525234"/>
    <w:rsid w:val="00567F00"/>
    <w:rsid w:val="005B02C4"/>
    <w:rsid w:val="005B7F61"/>
    <w:rsid w:val="006F461A"/>
    <w:rsid w:val="006F6C47"/>
    <w:rsid w:val="00B4485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F9931"/>
  <w15:chartTrackingRefBased/>
  <w15:docId w15:val="{2A3D22A6-9A09-4A3A-98B5-D4AE2076E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F6C47"/>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2966E5"/>
    <w:pPr>
      <w:spacing w:after="135"/>
    </w:pPr>
  </w:style>
  <w:style w:type="character" w:styleId="Collegamentoipertestuale">
    <w:name w:val="Hyperlink"/>
    <w:basedOn w:val="Carpredefinitoparagrafo"/>
    <w:uiPriority w:val="99"/>
    <w:unhideWhenUsed/>
    <w:rsid w:val="005B02C4"/>
    <w:rPr>
      <w:color w:val="0563C1" w:themeColor="hyperlink"/>
      <w:u w:val="single"/>
    </w:rPr>
  </w:style>
  <w:style w:type="paragraph" w:styleId="Paragrafoelenco">
    <w:name w:val="List Paragraph"/>
    <w:basedOn w:val="Normale"/>
    <w:uiPriority w:val="34"/>
    <w:qFormat/>
    <w:rsid w:val="005B7F61"/>
    <w:pPr>
      <w:ind w:left="720"/>
      <w:contextualSpacing/>
    </w:pPr>
  </w:style>
  <w:style w:type="table" w:styleId="Grigliatabella">
    <w:name w:val="Table Grid"/>
    <w:basedOn w:val="Tabellanormale"/>
    <w:uiPriority w:val="39"/>
    <w:rsid w:val="005B7F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25988">
      <w:bodyDiv w:val="1"/>
      <w:marLeft w:val="0"/>
      <w:marRight w:val="0"/>
      <w:marTop w:val="0"/>
      <w:marBottom w:val="0"/>
      <w:divBdr>
        <w:top w:val="none" w:sz="0" w:space="0" w:color="auto"/>
        <w:left w:val="none" w:sz="0" w:space="0" w:color="auto"/>
        <w:bottom w:val="none" w:sz="0" w:space="0" w:color="auto"/>
        <w:right w:val="none" w:sz="0" w:space="0" w:color="auto"/>
      </w:divBdr>
    </w:div>
    <w:div w:id="801265718">
      <w:bodyDiv w:val="1"/>
      <w:marLeft w:val="0"/>
      <w:marRight w:val="0"/>
      <w:marTop w:val="0"/>
      <w:marBottom w:val="0"/>
      <w:divBdr>
        <w:top w:val="none" w:sz="0" w:space="0" w:color="auto"/>
        <w:left w:val="none" w:sz="0" w:space="0" w:color="auto"/>
        <w:bottom w:val="none" w:sz="0" w:space="0" w:color="auto"/>
        <w:right w:val="none" w:sz="0" w:space="0" w:color="auto"/>
      </w:divBdr>
    </w:div>
    <w:div w:id="1397973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1033</Words>
  <Characters>5889</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
    </vt:vector>
  </TitlesOfParts>
  <Company>Consiglio Regionale della Campania</Company>
  <LinksUpToDate>false</LinksUpToDate>
  <CharactersWithSpaces>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Borrelli</dc:creator>
  <cp:keywords/>
  <dc:description/>
  <cp:lastModifiedBy>Borrelli Antonio</cp:lastModifiedBy>
  <cp:revision>2</cp:revision>
  <cp:lastPrinted>2023-11-15T13:22:00Z</cp:lastPrinted>
  <dcterms:created xsi:type="dcterms:W3CDTF">2023-12-01T13:37:00Z</dcterms:created>
  <dcterms:modified xsi:type="dcterms:W3CDTF">2023-12-01T13:37:00Z</dcterms:modified>
</cp:coreProperties>
</file>