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B3E2F" w14:textId="225FE385" w:rsidR="001838A7" w:rsidRDefault="00172F2F">
      <w:r>
        <w:t>Relazione tecnica</w:t>
      </w:r>
    </w:p>
    <w:p w14:paraId="6317C7FB" w14:textId="77777777" w:rsidR="00172F2F" w:rsidRDefault="00172F2F"/>
    <w:p w14:paraId="08F4FCDB" w14:textId="7D00E076" w:rsidR="00172F2F" w:rsidRDefault="00295324" w:rsidP="001021BD">
      <w:pPr>
        <w:jc w:val="both"/>
      </w:pPr>
      <w:r>
        <w:t>La sentenza del Consiglio di Stato n. 7855 del 24 agosto 2023 ha statuito la ridefinizione dei confini territoriali tra i Comuni di Pagani e S. Egidio del Monte Albino assegnando al Comune di Pagani alcuni territori storicamente facenti parte del Comune di S. Egidio del Monte Albino.</w:t>
      </w:r>
    </w:p>
    <w:p w14:paraId="6B05FC53" w14:textId="6EC457BC" w:rsidR="00295324" w:rsidRDefault="00295324" w:rsidP="001021BD">
      <w:pPr>
        <w:jc w:val="both"/>
      </w:pPr>
      <w:r>
        <w:t xml:space="preserve">L’applicazione di detta sentenza crea innumerevoli problematiche alla popolazione residente nella zona contesa in quanto </w:t>
      </w:r>
      <w:r w:rsidR="001021BD">
        <w:t>si trova, da un giorno all’altro, a dover fare riferimento ad un’amministrazione diversa da quella alla quale aveva storicamente fatto riferimento.</w:t>
      </w:r>
    </w:p>
    <w:p w14:paraId="16D6D080" w14:textId="1BDE65FC" w:rsidR="004C45BB" w:rsidRDefault="004C45BB" w:rsidP="001021BD">
      <w:pPr>
        <w:jc w:val="both"/>
      </w:pPr>
      <w:r>
        <w:t xml:space="preserve">Gli amministratori dei due Comuni sono stati auditi in data 19 ottobre 2023 innanzi alla Quarta Commissione Consiliare Permanente del Consiglio regionale della Campania esprimendo i propri disagi e le problematiche sottese generate dalla citata sentenza. </w:t>
      </w:r>
    </w:p>
    <w:p w14:paraId="7EA20505" w14:textId="3CFB2F4D" w:rsidR="00726323" w:rsidRDefault="00726323" w:rsidP="001021BD">
      <w:pPr>
        <w:jc w:val="both"/>
      </w:pPr>
      <w:r>
        <w:t xml:space="preserve">I punti di vista delle </w:t>
      </w:r>
      <w:r w:rsidR="00C80BE3">
        <w:t>due amministrazioni interes</w:t>
      </w:r>
      <w:r w:rsidR="00D63027">
        <w:t>s</w:t>
      </w:r>
      <w:r w:rsidR="00C80BE3">
        <w:t xml:space="preserve">ate, Pagani e S. Egidio del M.A. </w:t>
      </w:r>
    </w:p>
    <w:p w14:paraId="6715E188" w14:textId="2D879B3F" w:rsidR="004C45BB" w:rsidRDefault="004C45BB" w:rsidP="001021BD">
      <w:pPr>
        <w:jc w:val="both"/>
      </w:pPr>
      <w:r>
        <w:t xml:space="preserve">Un taglio maggiormente operativo hanno rappresentato gli amministratori del Comune di Pagani che si trovano a dover applicare immediatamente il dispositivo della Sentenza del Consiglio di Stato, mentre gli amministratori del Comune di S. Egidio del Monte Albino hanno </w:t>
      </w:r>
      <w:r w:rsidR="00271F2D">
        <w:t>esposto</w:t>
      </w:r>
      <w:r>
        <w:t xml:space="preserve"> motivazioni storiche di appartenenza della zona contesa</w:t>
      </w:r>
      <w:r w:rsidR="00C80BE3">
        <w:t xml:space="preserve"> al proprio Comune</w:t>
      </w:r>
      <w:r w:rsidR="002C4E5D">
        <w:t>.</w:t>
      </w:r>
    </w:p>
    <w:p w14:paraId="67D2CFC5" w14:textId="7D4D2B13" w:rsidR="001021BD" w:rsidRDefault="001021BD" w:rsidP="001021BD">
      <w:pPr>
        <w:jc w:val="both"/>
      </w:pPr>
      <w:r>
        <w:t xml:space="preserve">Le principali problematiche che si vengono a generare sono </w:t>
      </w:r>
      <w:r w:rsidR="003667FF">
        <w:t xml:space="preserve">prevalentemente </w:t>
      </w:r>
      <w:r>
        <w:t>di natura urbanistica ed edilizia</w:t>
      </w:r>
      <w:r w:rsidR="003667FF">
        <w:t xml:space="preserve"> e non solo</w:t>
      </w:r>
      <w:r>
        <w:t>. In primis il Comune di S. Egidio del Monte Albino ha già approvato il Piano Urbanistico Comunale classificando, all’interno del proprio strumento urbanistico, quella zona come prettamente industriale. Il Comune di Pagani, invece, non ha ancora approvato il PUC e, nei vecchi documenti urbanistici</w:t>
      </w:r>
      <w:r w:rsidR="00271F2D">
        <w:t>,</w:t>
      </w:r>
      <w:r>
        <w:t xml:space="preserve"> ha classificato la zona contesa come prevalentemente agricola. Questa differenza </w:t>
      </w:r>
      <w:r w:rsidR="00827CD9">
        <w:t xml:space="preserve">incide sulla vita amministrativa dei cittadini e degli imprenditori delle aree interessate da questi cambiamenti, in particolare </w:t>
      </w:r>
      <w:r>
        <w:t>all</w:t>
      </w:r>
      <w:r w:rsidR="00271F2D">
        <w:t>e</w:t>
      </w:r>
      <w:r>
        <w:t xml:space="preserve"> attività produttive insediate nell’area contesa che per qualsiasi modifica o variazione dovrebbero rivolgersi al Comune di Pagani vedendo peraltro negate le loro richieste in ragione della differente classificazione dell</w:t>
      </w:r>
      <w:r w:rsidR="00271F2D">
        <w:t>’</w:t>
      </w:r>
      <w:r>
        <w:t xml:space="preserve">area. </w:t>
      </w:r>
    </w:p>
    <w:p w14:paraId="74110B61" w14:textId="77777777" w:rsidR="00AB5F98" w:rsidRDefault="003667FF" w:rsidP="001021BD">
      <w:pPr>
        <w:jc w:val="both"/>
      </w:pPr>
      <w:r>
        <w:t xml:space="preserve">Sono </w:t>
      </w:r>
      <w:r w:rsidR="00AB5F98">
        <w:t>f</w:t>
      </w:r>
      <w:r w:rsidR="004C45BB">
        <w:t>ort</w:t>
      </w:r>
      <w:r>
        <w:t xml:space="preserve">i quindi i disagi e le difficoltà che i residenti nella zona interessata si trovano a dover affrontare quotidianamente </w:t>
      </w:r>
      <w:r w:rsidRPr="000F075B">
        <w:t>derivanti da</w:t>
      </w:r>
      <w:r w:rsidR="00AB5F98" w:rsidRPr="000F075B">
        <w:t>ll’incertezza del contesto amministrativo di riferimento</w:t>
      </w:r>
      <w:r w:rsidR="002C4147" w:rsidRPr="000F075B">
        <w:t>.</w:t>
      </w:r>
      <w:r w:rsidR="002C4147">
        <w:t xml:space="preserve"> </w:t>
      </w:r>
    </w:p>
    <w:p w14:paraId="458B5767" w14:textId="77777777" w:rsidR="00BF60C5" w:rsidRDefault="002C4147" w:rsidP="001021BD">
      <w:pPr>
        <w:jc w:val="both"/>
      </w:pPr>
      <w:r>
        <w:t>Il presente disegno di legge consente quindi di poter avviare la procedura di consultazione referendaria attraverso la quale consentire ai cittadini interessati di decidere liberamente l’assetto territoriale definitivo per dirimere la questione</w:t>
      </w:r>
      <w:r w:rsidR="00BF60C5">
        <w:t>.</w:t>
      </w:r>
    </w:p>
    <w:p w14:paraId="42399422" w14:textId="31F7AE3A" w:rsidR="00AB5F98" w:rsidRDefault="00BF60C5" w:rsidP="001021BD">
      <w:pPr>
        <w:jc w:val="both"/>
      </w:pPr>
      <w:r w:rsidRPr="000F075B">
        <w:t>Tanto</w:t>
      </w:r>
      <w:r w:rsidR="00AB5F98" w:rsidRPr="000F075B">
        <w:t xml:space="preserve"> nel rispetto del principio costituzionale </w:t>
      </w:r>
      <w:r w:rsidRPr="000F075B">
        <w:t>di assicurare</w:t>
      </w:r>
      <w:r w:rsidR="00AB5F98" w:rsidRPr="000F075B">
        <w:t xml:space="preserve"> il maggior grado di prossimità </w:t>
      </w:r>
      <w:r w:rsidRPr="000F075B">
        <w:t xml:space="preserve">dell’Amministrazione ai cittadini e di garantire </w:t>
      </w:r>
      <w:r w:rsidR="00AB5F98" w:rsidRPr="000F075B">
        <w:t>rispost</w:t>
      </w:r>
      <w:r w:rsidRPr="000F075B">
        <w:t>e</w:t>
      </w:r>
      <w:r w:rsidR="00AB5F98" w:rsidRPr="000F075B">
        <w:t xml:space="preserve"> adeguat</w:t>
      </w:r>
      <w:r w:rsidRPr="000F075B">
        <w:t>e</w:t>
      </w:r>
      <w:r w:rsidR="00AB5F98" w:rsidRPr="000F075B">
        <w:t> ed efficient</w:t>
      </w:r>
      <w:r w:rsidRPr="000F075B">
        <w:t>i</w:t>
      </w:r>
      <w:r w:rsidR="00AB5F98" w:rsidRPr="000F075B">
        <w:t> alle istanze della collettività</w:t>
      </w:r>
      <w:r w:rsidRPr="000F075B">
        <w:t xml:space="preserve">, favorendone </w:t>
      </w:r>
      <w:r w:rsidR="00AB5F98" w:rsidRPr="000F075B">
        <w:t>il coinvolgimento nella vita politica.</w:t>
      </w:r>
    </w:p>
    <w:p w14:paraId="1D61E1B9" w14:textId="77777777" w:rsidR="00D147F7" w:rsidRDefault="00D147F7" w:rsidP="001021BD">
      <w:pPr>
        <w:jc w:val="both"/>
      </w:pPr>
    </w:p>
    <w:p w14:paraId="2CC970C4" w14:textId="4DBEBC2C" w:rsidR="00D147F7" w:rsidRDefault="00D147F7" w:rsidP="001021BD">
      <w:pPr>
        <w:jc w:val="both"/>
      </w:pPr>
      <w:r>
        <w:lastRenderedPageBreak/>
        <w:t>Relazione economico finanziaria</w:t>
      </w:r>
    </w:p>
    <w:p w14:paraId="25B7C5C3" w14:textId="010343DF" w:rsidR="003D2D88" w:rsidRPr="003667FF" w:rsidRDefault="00D147F7" w:rsidP="003667FF">
      <w:pPr>
        <w:jc w:val="both"/>
      </w:pPr>
      <w:r w:rsidRPr="003667FF">
        <w:t>La legge comporta oneri finanziari che verranno coperti con una variazione compensativa di bilancio attraverso un prelievo di pari importo dal Fondo di riserva per il corrente esercizio finanziario. La quantificazione degli oneri è stata effettuata in analogia con quanto già disposto per il referendum effettuato per l’unificazione dei Comuni di Montor</w:t>
      </w:r>
      <w:r w:rsidR="003D2D88" w:rsidRPr="003667FF">
        <w:t>o</w:t>
      </w:r>
      <w:r w:rsidRPr="003667FF">
        <w:t xml:space="preserve"> </w:t>
      </w:r>
      <w:r w:rsidR="003D2D88" w:rsidRPr="003667FF">
        <w:t>I</w:t>
      </w:r>
      <w:r w:rsidRPr="003667FF">
        <w:t xml:space="preserve">nferiore e Superiore tenutosi nel 2013. Va rappresentato che la popolazione interessata per quel referendum ammontava a circa 15 mila </w:t>
      </w:r>
      <w:r w:rsidR="003D2D88" w:rsidRPr="003667FF">
        <w:t>elettori</w:t>
      </w:r>
      <w:r w:rsidRPr="003667FF">
        <w:t xml:space="preserve">, numero ben lontano dai circa mille abitanti della zona contesa. Volendo quindi prudenzialmente considerare </w:t>
      </w:r>
      <w:r w:rsidR="003D2D88" w:rsidRPr="003667FF">
        <w:t>gli incrementi dei costi dovuti all’inflazione per il periodo intercorso compensabili con il numero notevolmente ridotto dei potenziali interessati alla presente consultazione referendaria, si possono stimare le spese come nello schema sotto riportato.</w:t>
      </w:r>
    </w:p>
    <w:p w14:paraId="47F64293" w14:textId="015B909E" w:rsidR="00D147F7" w:rsidRDefault="00D147F7" w:rsidP="00D147F7">
      <w:pPr>
        <w:widowControl w:val="0"/>
        <w:autoSpaceDE w:val="0"/>
        <w:autoSpaceDN w:val="0"/>
        <w:spacing w:before="8" w:after="0" w:line="240" w:lineRule="auto"/>
        <w:jc w:val="both"/>
      </w:pPr>
      <w:r>
        <w:t>1.</w:t>
      </w:r>
      <w:r>
        <w:tab/>
        <w:t xml:space="preserve">spese ai </w:t>
      </w:r>
      <w:r w:rsidR="003D2D88">
        <w:t>C</w:t>
      </w:r>
      <w:r>
        <w:t>omuni circa € 6</w:t>
      </w:r>
      <w:r w:rsidR="003D2D88">
        <w:t>0</w:t>
      </w:r>
      <w:r>
        <w:t xml:space="preserve">.mila </w:t>
      </w:r>
    </w:p>
    <w:p w14:paraId="4D64E342" w14:textId="77777777" w:rsidR="00D147F7" w:rsidRDefault="00D147F7" w:rsidP="00D147F7">
      <w:pPr>
        <w:widowControl w:val="0"/>
        <w:autoSpaceDE w:val="0"/>
        <w:autoSpaceDN w:val="0"/>
        <w:spacing w:before="8" w:after="0" w:line="240" w:lineRule="auto"/>
        <w:jc w:val="both"/>
      </w:pPr>
      <w:r>
        <w:t>2.</w:t>
      </w:r>
      <w:r>
        <w:tab/>
        <w:t>spese per straordinario elettorale circa €10 mila</w:t>
      </w:r>
    </w:p>
    <w:p w14:paraId="326F3D5C" w14:textId="7930FE3D" w:rsidR="00D147F7" w:rsidRDefault="00D147F7" w:rsidP="00D147F7">
      <w:pPr>
        <w:widowControl w:val="0"/>
        <w:autoSpaceDE w:val="0"/>
        <w:autoSpaceDN w:val="0"/>
        <w:spacing w:before="8" w:after="0" w:line="240" w:lineRule="auto"/>
        <w:jc w:val="both"/>
      </w:pPr>
      <w:r>
        <w:t>3.</w:t>
      </w:r>
      <w:r>
        <w:tab/>
        <w:t xml:space="preserve">Spese per stampa e modulistica circa € </w:t>
      </w:r>
      <w:r w:rsidR="003D2D88">
        <w:t>10</w:t>
      </w:r>
      <w:r>
        <w:t xml:space="preserve"> mila</w:t>
      </w:r>
    </w:p>
    <w:p w14:paraId="7091B8DA" w14:textId="325C8175" w:rsidR="00D147F7" w:rsidRDefault="00D147F7" w:rsidP="00D147F7">
      <w:pPr>
        <w:widowControl w:val="0"/>
        <w:autoSpaceDE w:val="0"/>
        <w:autoSpaceDN w:val="0"/>
        <w:spacing w:before="8" w:after="0" w:line="240" w:lineRule="auto"/>
        <w:jc w:val="both"/>
      </w:pPr>
      <w:r>
        <w:t>4.</w:t>
      </w:r>
      <w:r>
        <w:tab/>
        <w:t xml:space="preserve">spese Prefettura non oltre € </w:t>
      </w:r>
      <w:r w:rsidR="003D2D88">
        <w:t>10</w:t>
      </w:r>
      <w:r>
        <w:t xml:space="preserve"> mila</w:t>
      </w:r>
    </w:p>
    <w:p w14:paraId="216D7982" w14:textId="686F8965" w:rsidR="00D147F7" w:rsidRDefault="00D147F7" w:rsidP="00D147F7">
      <w:pPr>
        <w:widowControl w:val="0"/>
        <w:autoSpaceDE w:val="0"/>
        <w:autoSpaceDN w:val="0"/>
        <w:spacing w:before="8" w:after="0" w:line="240" w:lineRule="auto"/>
        <w:jc w:val="both"/>
      </w:pPr>
      <w:r>
        <w:t>5.</w:t>
      </w:r>
      <w:r>
        <w:tab/>
        <w:t xml:space="preserve">spese per </w:t>
      </w:r>
      <w:r w:rsidR="003D2D88">
        <w:t>T</w:t>
      </w:r>
      <w:r>
        <w:t xml:space="preserve">ribunale circa € </w:t>
      </w:r>
      <w:r w:rsidR="003D2D88">
        <w:t>10</w:t>
      </w:r>
      <w:r>
        <w:t>mila</w:t>
      </w:r>
    </w:p>
    <w:p w14:paraId="3EFCC8BD" w14:textId="16AA6768" w:rsidR="00D147F7" w:rsidRDefault="003D2D88" w:rsidP="00D147F7">
      <w:pPr>
        <w:widowControl w:val="0"/>
        <w:autoSpaceDE w:val="0"/>
        <w:autoSpaceDN w:val="0"/>
        <w:spacing w:before="8" w:after="0" w:line="240" w:lineRule="auto"/>
        <w:jc w:val="both"/>
      </w:pPr>
      <w:r>
        <w:t>Pertanto,</w:t>
      </w:r>
      <w:r w:rsidR="00D147F7">
        <w:t xml:space="preserve"> la spesa </w:t>
      </w:r>
      <w:r>
        <w:t>complessiva potrebbe stimarsi in circa</w:t>
      </w:r>
      <w:r w:rsidR="00D147F7">
        <w:t xml:space="preserve"> </w:t>
      </w:r>
      <w:r>
        <w:t>100</w:t>
      </w:r>
      <w:r w:rsidR="00D147F7">
        <w:t xml:space="preserve"> mila Euro.</w:t>
      </w:r>
    </w:p>
    <w:sectPr w:rsidR="00D147F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8A7"/>
    <w:rsid w:val="000F075B"/>
    <w:rsid w:val="000F3B73"/>
    <w:rsid w:val="001021BD"/>
    <w:rsid w:val="00172F2F"/>
    <w:rsid w:val="001838A7"/>
    <w:rsid w:val="00271F2D"/>
    <w:rsid w:val="0028132F"/>
    <w:rsid w:val="00295324"/>
    <w:rsid w:val="002C4147"/>
    <w:rsid w:val="002C4E5D"/>
    <w:rsid w:val="00324AB2"/>
    <w:rsid w:val="003667FF"/>
    <w:rsid w:val="003D2D88"/>
    <w:rsid w:val="004C45BB"/>
    <w:rsid w:val="004F6859"/>
    <w:rsid w:val="00726323"/>
    <w:rsid w:val="00827CD9"/>
    <w:rsid w:val="00A05408"/>
    <w:rsid w:val="00A37F44"/>
    <w:rsid w:val="00AB5F98"/>
    <w:rsid w:val="00B14F47"/>
    <w:rsid w:val="00BF60C5"/>
    <w:rsid w:val="00C80BE3"/>
    <w:rsid w:val="00D147F7"/>
    <w:rsid w:val="00D6302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8D6C4"/>
  <w15:chartTrackingRefBased/>
  <w15:docId w15:val="{03E024CB-7866-4E39-B727-5554B1D74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838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1838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1838A7"/>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1838A7"/>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1838A7"/>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1838A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1838A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838A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838A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838A7"/>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1838A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1838A7"/>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1838A7"/>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1838A7"/>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1838A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838A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838A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838A7"/>
    <w:rPr>
      <w:rFonts w:eastAsiaTheme="majorEastAsia" w:cstheme="majorBidi"/>
      <w:color w:val="272727" w:themeColor="text1" w:themeTint="D8"/>
    </w:rPr>
  </w:style>
  <w:style w:type="paragraph" w:styleId="Titolo">
    <w:name w:val="Title"/>
    <w:basedOn w:val="Normale"/>
    <w:next w:val="Normale"/>
    <w:link w:val="TitoloCarattere"/>
    <w:uiPriority w:val="10"/>
    <w:qFormat/>
    <w:rsid w:val="001838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1838A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1838A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1838A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1838A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838A7"/>
    <w:rPr>
      <w:i/>
      <w:iCs/>
      <w:color w:val="404040" w:themeColor="text1" w:themeTint="BF"/>
    </w:rPr>
  </w:style>
  <w:style w:type="paragraph" w:styleId="Paragrafoelenco">
    <w:name w:val="List Paragraph"/>
    <w:basedOn w:val="Normale"/>
    <w:uiPriority w:val="34"/>
    <w:qFormat/>
    <w:rsid w:val="001838A7"/>
    <w:pPr>
      <w:ind w:left="720"/>
      <w:contextualSpacing/>
    </w:pPr>
  </w:style>
  <w:style w:type="character" w:styleId="Enfasiintensa">
    <w:name w:val="Intense Emphasis"/>
    <w:basedOn w:val="Carpredefinitoparagrafo"/>
    <w:uiPriority w:val="21"/>
    <w:qFormat/>
    <w:rsid w:val="001838A7"/>
    <w:rPr>
      <w:i/>
      <w:iCs/>
      <w:color w:val="0F4761" w:themeColor="accent1" w:themeShade="BF"/>
    </w:rPr>
  </w:style>
  <w:style w:type="paragraph" w:styleId="Citazioneintensa">
    <w:name w:val="Intense Quote"/>
    <w:basedOn w:val="Normale"/>
    <w:next w:val="Normale"/>
    <w:link w:val="CitazioneintensaCarattere"/>
    <w:uiPriority w:val="30"/>
    <w:qFormat/>
    <w:rsid w:val="001838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1838A7"/>
    <w:rPr>
      <w:i/>
      <w:iCs/>
      <w:color w:val="0F4761" w:themeColor="accent1" w:themeShade="BF"/>
    </w:rPr>
  </w:style>
  <w:style w:type="character" w:styleId="Riferimentointenso">
    <w:name w:val="Intense Reference"/>
    <w:basedOn w:val="Carpredefinitoparagrafo"/>
    <w:uiPriority w:val="32"/>
    <w:qFormat/>
    <w:rsid w:val="001838A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598</Words>
  <Characters>3415</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Pacelli Chiara</dc:creator>
  <cp:keywords/>
  <dc:description/>
  <cp:lastModifiedBy>Pacelli Chiara</cp:lastModifiedBy>
  <cp:revision>3</cp:revision>
  <cp:lastPrinted>2024-09-02T09:05:00Z</cp:lastPrinted>
  <dcterms:created xsi:type="dcterms:W3CDTF">2024-09-30T14:14:00Z</dcterms:created>
  <dcterms:modified xsi:type="dcterms:W3CDTF">2024-10-01T10:32:00Z</dcterms:modified>
</cp:coreProperties>
</file>