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81B5B" w14:textId="77777777" w:rsidR="00661219" w:rsidRDefault="00661219" w:rsidP="002E2781">
      <w:pPr>
        <w:spacing w:line="360" w:lineRule="auto"/>
        <w:jc w:val="right"/>
      </w:pPr>
    </w:p>
    <w:p w14:paraId="129E302D" w14:textId="77777777" w:rsidR="004E30BD" w:rsidRDefault="004E30BD" w:rsidP="000C24E3">
      <w:pPr>
        <w:spacing w:line="360" w:lineRule="auto"/>
        <w:jc w:val="center"/>
        <w:rPr>
          <w:smallCaps/>
        </w:rPr>
      </w:pPr>
    </w:p>
    <w:p w14:paraId="59AAF813" w14:textId="77777777" w:rsidR="004E30BD" w:rsidRDefault="004E30BD" w:rsidP="000C24E3">
      <w:pPr>
        <w:spacing w:line="360" w:lineRule="auto"/>
        <w:jc w:val="center"/>
        <w:rPr>
          <w:smallCaps/>
        </w:rPr>
      </w:pPr>
    </w:p>
    <w:p w14:paraId="0EFBE6EB" w14:textId="77777777" w:rsidR="004E30BD" w:rsidRDefault="004E30BD" w:rsidP="000C24E3">
      <w:pPr>
        <w:spacing w:line="360" w:lineRule="auto"/>
        <w:jc w:val="center"/>
        <w:rPr>
          <w:smallCaps/>
        </w:rPr>
      </w:pPr>
    </w:p>
    <w:p w14:paraId="70D67C11" w14:textId="77777777" w:rsidR="004E30BD" w:rsidRDefault="004E30BD" w:rsidP="000C24E3">
      <w:pPr>
        <w:spacing w:line="360" w:lineRule="auto"/>
        <w:jc w:val="center"/>
        <w:rPr>
          <w:smallCaps/>
        </w:rPr>
      </w:pPr>
    </w:p>
    <w:p w14:paraId="6F6288F1" w14:textId="77777777" w:rsidR="004E30BD" w:rsidRPr="00A7028B" w:rsidRDefault="004E30BD" w:rsidP="000C24E3">
      <w:pPr>
        <w:spacing w:line="360" w:lineRule="auto"/>
        <w:jc w:val="center"/>
        <w:rPr>
          <w:rFonts w:ascii="Bookman Old Style" w:hAnsi="Bookman Old Style"/>
          <w:smallCaps/>
        </w:rPr>
      </w:pPr>
    </w:p>
    <w:p w14:paraId="322C6DA1" w14:textId="77777777" w:rsidR="004E30BD" w:rsidRPr="00A7028B" w:rsidRDefault="004E30BD" w:rsidP="000C24E3">
      <w:pPr>
        <w:spacing w:line="360" w:lineRule="auto"/>
        <w:jc w:val="center"/>
        <w:rPr>
          <w:rFonts w:ascii="Bookman Old Style" w:hAnsi="Bookman Old Style"/>
          <w:smallCaps/>
        </w:rPr>
      </w:pPr>
    </w:p>
    <w:p w14:paraId="6D767880" w14:textId="77777777" w:rsidR="000C24E3" w:rsidRPr="00A7028B" w:rsidRDefault="000C24E3" w:rsidP="000C24E3">
      <w:pPr>
        <w:spacing w:line="360" w:lineRule="auto"/>
        <w:jc w:val="center"/>
        <w:rPr>
          <w:rFonts w:ascii="Bookman Old Style" w:hAnsi="Bookman Old Style"/>
          <w:smallCaps/>
          <w:sz w:val="28"/>
        </w:rPr>
      </w:pPr>
      <w:r w:rsidRPr="00A7028B">
        <w:rPr>
          <w:rFonts w:ascii="Bookman Old Style" w:hAnsi="Bookman Old Style"/>
          <w:smallCaps/>
          <w:sz w:val="28"/>
        </w:rPr>
        <w:t>Proposta di legge</w:t>
      </w:r>
    </w:p>
    <w:p w14:paraId="74F9BD7C" w14:textId="77777777" w:rsidR="000C24E3" w:rsidRPr="00A7028B" w:rsidRDefault="00A97682" w:rsidP="00A97682">
      <w:pPr>
        <w:tabs>
          <w:tab w:val="left" w:pos="8490"/>
        </w:tabs>
        <w:spacing w:line="360" w:lineRule="auto"/>
        <w:rPr>
          <w:rFonts w:ascii="Bookman Old Style" w:hAnsi="Bookman Old Style"/>
          <w:smallCaps/>
          <w:sz w:val="28"/>
        </w:rPr>
      </w:pPr>
      <w:r>
        <w:rPr>
          <w:rFonts w:ascii="Bookman Old Style" w:hAnsi="Bookman Old Style"/>
          <w:smallCaps/>
          <w:sz w:val="28"/>
        </w:rPr>
        <w:tab/>
      </w:r>
    </w:p>
    <w:p w14:paraId="105C7FA4" w14:textId="678F7998" w:rsidR="00411909" w:rsidRPr="00ED7A13" w:rsidRDefault="00411909" w:rsidP="00411909">
      <w:pPr>
        <w:jc w:val="center"/>
        <w:rPr>
          <w:rFonts w:ascii="Arial" w:hAnsi="Arial" w:cs="Arial"/>
          <w:bCs/>
        </w:rPr>
      </w:pPr>
      <w:r w:rsidRPr="00ED7A13">
        <w:rPr>
          <w:rFonts w:ascii="Arial" w:hAnsi="Arial" w:cs="Arial"/>
          <w:bCs/>
          <w:sz w:val="32"/>
          <w:szCs w:val="32"/>
        </w:rPr>
        <w:t>“</w:t>
      </w:r>
      <w:r w:rsidR="0009520E">
        <w:rPr>
          <w:rFonts w:ascii="Arial" w:hAnsi="Arial" w:cs="Arial"/>
          <w:bCs/>
          <w:sz w:val="32"/>
          <w:szCs w:val="32"/>
        </w:rPr>
        <w:t>Modifica delle circoscrizioni territoriali dei Comuni di Pagani e di Sant’Egidio del Monte Albino in Provincia di Salerno</w:t>
      </w:r>
      <w:r w:rsidRPr="00ED7A13">
        <w:rPr>
          <w:rFonts w:ascii="Arial" w:hAnsi="Arial" w:cs="Arial"/>
          <w:bCs/>
          <w:sz w:val="32"/>
          <w:szCs w:val="32"/>
        </w:rPr>
        <w:t>”</w:t>
      </w:r>
    </w:p>
    <w:p w14:paraId="47996DBA" w14:textId="77777777" w:rsidR="00411909" w:rsidRPr="00ED7A13" w:rsidRDefault="00411909" w:rsidP="00411909">
      <w:pPr>
        <w:pStyle w:val="1"/>
        <w:jc w:val="center"/>
        <w:rPr>
          <w:rFonts w:ascii="Arial" w:hAnsi="Arial" w:cs="Arial"/>
          <w:b/>
        </w:rPr>
      </w:pPr>
    </w:p>
    <w:p w14:paraId="5E1B93B9" w14:textId="3CAB4E15" w:rsidR="00C3524F" w:rsidRPr="00C3524F" w:rsidRDefault="00411909" w:rsidP="00C3524F">
      <w:pPr>
        <w:pStyle w:val="Paragrafoelenco"/>
        <w:numPr>
          <w:ilvl w:val="0"/>
          <w:numId w:val="10"/>
        </w:numPr>
        <w:spacing w:line="360" w:lineRule="auto"/>
        <w:jc w:val="center"/>
        <w:rPr>
          <w:rFonts w:ascii="Bookman Old Style" w:hAnsi="Bookman Old Style"/>
          <w:smallCaps/>
          <w:sz w:val="28"/>
        </w:rPr>
      </w:pPr>
      <w:r>
        <w:rPr>
          <w:rFonts w:ascii="Bookman Old Style" w:hAnsi="Bookman Old Style"/>
          <w:smallCaps/>
          <w:sz w:val="28"/>
        </w:rPr>
        <w:t>Reg</w:t>
      </w:r>
      <w:r w:rsidR="006B38D1">
        <w:rPr>
          <w:rFonts w:ascii="Bookman Old Style" w:hAnsi="Bookman Old Style"/>
          <w:smallCaps/>
          <w:sz w:val="28"/>
        </w:rPr>
        <w:t xml:space="preserve">. Gen. </w:t>
      </w:r>
      <w:r w:rsidR="0009520E">
        <w:rPr>
          <w:rFonts w:ascii="Bookman Old Style" w:hAnsi="Bookman Old Style"/>
          <w:smallCaps/>
          <w:sz w:val="28"/>
        </w:rPr>
        <w:t>___</w:t>
      </w:r>
      <w:r>
        <w:rPr>
          <w:rFonts w:ascii="Bookman Old Style" w:hAnsi="Bookman Old Style"/>
          <w:smallCaps/>
          <w:sz w:val="28"/>
        </w:rPr>
        <w:t>-</w:t>
      </w:r>
    </w:p>
    <w:p w14:paraId="62FF140B" w14:textId="77777777" w:rsidR="00C3524F" w:rsidRPr="00A7028B" w:rsidRDefault="00C3524F" w:rsidP="000C24E3">
      <w:pPr>
        <w:spacing w:line="360" w:lineRule="auto"/>
        <w:jc w:val="center"/>
        <w:rPr>
          <w:rFonts w:ascii="Bookman Old Style" w:hAnsi="Bookman Old Style"/>
          <w:smallCaps/>
          <w:sz w:val="28"/>
        </w:rPr>
      </w:pPr>
    </w:p>
    <w:p w14:paraId="6EB0E327" w14:textId="77777777" w:rsidR="000C24E3" w:rsidRPr="00A7028B" w:rsidRDefault="000C24E3" w:rsidP="000C24E3">
      <w:pPr>
        <w:spacing w:line="360" w:lineRule="auto"/>
        <w:jc w:val="center"/>
        <w:rPr>
          <w:rFonts w:ascii="Bookman Old Style" w:hAnsi="Bookman Old Style"/>
          <w:smallCaps/>
        </w:rPr>
      </w:pPr>
    </w:p>
    <w:p w14:paraId="1307445C" w14:textId="77777777" w:rsidR="000C24E3" w:rsidRPr="00A7028B" w:rsidRDefault="000C24E3" w:rsidP="000C24E3">
      <w:pPr>
        <w:spacing w:line="360" w:lineRule="auto"/>
        <w:jc w:val="center"/>
        <w:rPr>
          <w:rFonts w:ascii="Bookman Old Style" w:hAnsi="Bookman Old Style"/>
          <w:smallCaps/>
        </w:rPr>
      </w:pPr>
    </w:p>
    <w:p w14:paraId="18D63432" w14:textId="77777777" w:rsidR="000C24E3" w:rsidRPr="00A7028B" w:rsidRDefault="000C24E3" w:rsidP="000C24E3">
      <w:pPr>
        <w:spacing w:line="360" w:lineRule="auto"/>
        <w:jc w:val="center"/>
        <w:rPr>
          <w:rFonts w:ascii="Bookman Old Style" w:hAnsi="Bookman Old Style"/>
          <w:smallCaps/>
        </w:rPr>
      </w:pPr>
    </w:p>
    <w:p w14:paraId="6C9D3389" w14:textId="77777777" w:rsidR="000C24E3" w:rsidRPr="00A7028B" w:rsidRDefault="000C24E3" w:rsidP="000C24E3">
      <w:pPr>
        <w:spacing w:line="360" w:lineRule="auto"/>
        <w:jc w:val="center"/>
        <w:rPr>
          <w:rFonts w:ascii="Bookman Old Style" w:hAnsi="Bookman Old Style"/>
          <w:smallCaps/>
        </w:rPr>
      </w:pPr>
    </w:p>
    <w:p w14:paraId="65CEF2A6" w14:textId="77777777" w:rsidR="000C24E3" w:rsidRPr="00A7028B" w:rsidRDefault="000C24E3" w:rsidP="000C24E3">
      <w:pPr>
        <w:spacing w:line="360" w:lineRule="auto"/>
        <w:jc w:val="center"/>
        <w:rPr>
          <w:rFonts w:ascii="Bookman Old Style" w:hAnsi="Bookman Old Style"/>
          <w:smallCaps/>
        </w:rPr>
      </w:pPr>
    </w:p>
    <w:p w14:paraId="4F3FA917" w14:textId="77777777" w:rsidR="000C24E3" w:rsidRPr="00A7028B" w:rsidRDefault="000C24E3" w:rsidP="000C24E3">
      <w:pPr>
        <w:spacing w:line="360" w:lineRule="auto"/>
        <w:jc w:val="center"/>
        <w:rPr>
          <w:rFonts w:ascii="Bookman Old Style" w:hAnsi="Bookman Old Style"/>
          <w:smallCaps/>
        </w:rPr>
      </w:pPr>
    </w:p>
    <w:p w14:paraId="5846A894" w14:textId="77777777" w:rsidR="000C24E3" w:rsidRPr="00A7028B" w:rsidRDefault="000C24E3" w:rsidP="000C24E3">
      <w:pPr>
        <w:spacing w:line="360" w:lineRule="auto"/>
        <w:jc w:val="center"/>
        <w:rPr>
          <w:rFonts w:ascii="Bookman Old Style" w:hAnsi="Bookman Old Style"/>
          <w:smallCaps/>
        </w:rPr>
      </w:pPr>
    </w:p>
    <w:p w14:paraId="29BE0BB6" w14:textId="77777777" w:rsidR="000C24E3" w:rsidRPr="00A7028B" w:rsidRDefault="000C24E3" w:rsidP="000C24E3">
      <w:pPr>
        <w:spacing w:line="360" w:lineRule="auto"/>
        <w:jc w:val="center"/>
        <w:rPr>
          <w:rFonts w:ascii="Bookman Old Style" w:hAnsi="Bookman Old Style"/>
          <w:smallCaps/>
        </w:rPr>
      </w:pPr>
    </w:p>
    <w:p w14:paraId="7AD405B4" w14:textId="77777777" w:rsidR="000C24E3" w:rsidRPr="00A7028B" w:rsidRDefault="000C24E3" w:rsidP="000C24E3">
      <w:pPr>
        <w:spacing w:line="360" w:lineRule="auto"/>
        <w:jc w:val="center"/>
        <w:rPr>
          <w:rFonts w:ascii="Bookman Old Style" w:hAnsi="Bookman Old Style"/>
          <w:smallCaps/>
          <w:sz w:val="28"/>
        </w:rPr>
      </w:pPr>
      <w:r w:rsidRPr="00A7028B">
        <w:rPr>
          <w:rFonts w:ascii="Bookman Old Style" w:hAnsi="Bookman Old Style"/>
          <w:smallCaps/>
          <w:sz w:val="28"/>
        </w:rPr>
        <w:t>Scheda AIR</w:t>
      </w:r>
    </w:p>
    <w:p w14:paraId="32EBBA42" w14:textId="77777777" w:rsidR="000C24E3" w:rsidRPr="00A7028B" w:rsidRDefault="000C24E3" w:rsidP="000C24E3">
      <w:pPr>
        <w:spacing w:line="360" w:lineRule="auto"/>
        <w:jc w:val="center"/>
        <w:rPr>
          <w:rFonts w:ascii="Bookman Old Style" w:hAnsi="Bookman Old Style"/>
          <w:smallCaps/>
        </w:rPr>
      </w:pPr>
      <w:r w:rsidRPr="00A7028B">
        <w:rPr>
          <w:rFonts w:ascii="Bookman Old Style" w:hAnsi="Bookman Old Style"/>
          <w:smallCaps/>
        </w:rPr>
        <w:t>Analisi di Impatto della Regolamentazione</w:t>
      </w:r>
    </w:p>
    <w:p w14:paraId="18555729" w14:textId="77777777" w:rsidR="000C24E3" w:rsidRDefault="000C24E3">
      <w:pPr>
        <w:spacing w:after="160" w:line="259" w:lineRule="auto"/>
        <w:rPr>
          <w:smallCaps/>
        </w:rPr>
      </w:pPr>
      <w:r>
        <w:rPr>
          <w:smallCaps/>
        </w:rPr>
        <w:br w:type="page"/>
      </w:r>
    </w:p>
    <w:tbl>
      <w:tblPr>
        <w:tblStyle w:val="Grigliatabella"/>
        <w:tblW w:w="10060" w:type="dxa"/>
        <w:tblCellMar>
          <w:top w:w="57" w:type="dxa"/>
          <w:bottom w:w="57" w:type="dxa"/>
        </w:tblCellMar>
        <w:tblLook w:val="04A0" w:firstRow="1" w:lastRow="0" w:firstColumn="1" w:lastColumn="0" w:noHBand="0" w:noVBand="1"/>
      </w:tblPr>
      <w:tblGrid>
        <w:gridCol w:w="2254"/>
        <w:gridCol w:w="7806"/>
      </w:tblGrid>
      <w:tr w:rsidR="000C24E3" w:rsidRPr="004E30BD" w14:paraId="4EACC68D" w14:textId="77777777" w:rsidTr="003B6B81">
        <w:tc>
          <w:tcPr>
            <w:tcW w:w="1980" w:type="dxa"/>
            <w:vAlign w:val="center"/>
          </w:tcPr>
          <w:p w14:paraId="1CFD89ED" w14:textId="77777777" w:rsidR="000C24E3" w:rsidRPr="004E30BD" w:rsidRDefault="000C24E3" w:rsidP="004E30BD">
            <w:pPr>
              <w:jc w:val="center"/>
              <w:rPr>
                <w:rFonts w:ascii="Bookman Old Style" w:hAnsi="Bookman Old Style"/>
                <w:b/>
                <w:sz w:val="22"/>
                <w:szCs w:val="22"/>
              </w:rPr>
            </w:pPr>
            <w:r w:rsidRPr="004E30BD">
              <w:rPr>
                <w:rFonts w:ascii="Bookman Old Style" w:hAnsi="Bookman Old Style"/>
                <w:b/>
                <w:sz w:val="22"/>
                <w:szCs w:val="22"/>
              </w:rPr>
              <w:lastRenderedPageBreak/>
              <w:t>Sezioni</w:t>
            </w:r>
          </w:p>
        </w:tc>
        <w:tc>
          <w:tcPr>
            <w:tcW w:w="8080" w:type="dxa"/>
            <w:vAlign w:val="center"/>
          </w:tcPr>
          <w:p w14:paraId="45A10E42" w14:textId="77777777" w:rsidR="000C24E3" w:rsidRPr="004E30BD" w:rsidRDefault="000C24E3" w:rsidP="001E1098">
            <w:pPr>
              <w:jc w:val="both"/>
              <w:rPr>
                <w:rFonts w:ascii="Bookman Old Style" w:hAnsi="Bookman Old Style"/>
                <w:b/>
                <w:sz w:val="22"/>
                <w:szCs w:val="22"/>
              </w:rPr>
            </w:pPr>
            <w:r w:rsidRPr="004E30BD">
              <w:rPr>
                <w:rFonts w:ascii="Bookman Old Style" w:hAnsi="Bookman Old Style"/>
                <w:b/>
                <w:sz w:val="22"/>
                <w:szCs w:val="22"/>
              </w:rPr>
              <w:t>Contenuti</w:t>
            </w:r>
          </w:p>
        </w:tc>
      </w:tr>
      <w:tr w:rsidR="000C24E3" w:rsidRPr="004E30BD" w14:paraId="53F92FCE" w14:textId="77777777" w:rsidTr="00BA6CBE">
        <w:tc>
          <w:tcPr>
            <w:tcW w:w="1980" w:type="dxa"/>
            <w:vAlign w:val="center"/>
          </w:tcPr>
          <w:p w14:paraId="554A017D" w14:textId="77777777" w:rsidR="000C24E3" w:rsidRDefault="000C24E3" w:rsidP="000C24E3">
            <w:pPr>
              <w:rPr>
                <w:rFonts w:ascii="Bookman Old Style" w:hAnsi="Bookman Old Style"/>
                <w:b/>
                <w:sz w:val="22"/>
                <w:szCs w:val="22"/>
              </w:rPr>
            </w:pPr>
            <w:r w:rsidRPr="004E30BD">
              <w:rPr>
                <w:rFonts w:ascii="Bookman Old Style" w:hAnsi="Bookman Old Style"/>
                <w:b/>
                <w:sz w:val="22"/>
                <w:szCs w:val="22"/>
              </w:rPr>
              <w:t>Sezione 1 - Contesto e obiettivi dell’intervento di regolamentazione</w:t>
            </w:r>
          </w:p>
          <w:p w14:paraId="1327F254" w14:textId="77777777" w:rsidR="00152ECF" w:rsidRDefault="00152ECF" w:rsidP="000C24E3">
            <w:pPr>
              <w:rPr>
                <w:rFonts w:ascii="Bookman Old Style" w:hAnsi="Bookman Old Style"/>
                <w:b/>
                <w:sz w:val="22"/>
                <w:szCs w:val="22"/>
              </w:rPr>
            </w:pPr>
          </w:p>
          <w:p w14:paraId="7E8832CA" w14:textId="77777777" w:rsidR="00152ECF" w:rsidRPr="004E30BD" w:rsidRDefault="00152ECF" w:rsidP="000C24E3">
            <w:pPr>
              <w:rPr>
                <w:rFonts w:ascii="Bookman Old Style" w:hAnsi="Bookman Old Style"/>
                <w:b/>
                <w:sz w:val="22"/>
                <w:szCs w:val="22"/>
              </w:rPr>
            </w:pPr>
          </w:p>
        </w:tc>
        <w:tc>
          <w:tcPr>
            <w:tcW w:w="8080" w:type="dxa"/>
            <w:shd w:val="clear" w:color="auto" w:fill="auto"/>
            <w:vAlign w:val="center"/>
          </w:tcPr>
          <w:p w14:paraId="4A116B04" w14:textId="77777777" w:rsidR="000C24E3" w:rsidRPr="004E30BD" w:rsidRDefault="00152ECF" w:rsidP="00462651">
            <w:pPr>
              <w:pStyle w:val="Paragrafoelenco"/>
              <w:numPr>
                <w:ilvl w:val="0"/>
                <w:numId w:val="1"/>
              </w:numPr>
              <w:ind w:left="183" w:hanging="277"/>
              <w:jc w:val="both"/>
              <w:rPr>
                <w:rFonts w:ascii="Bookman Old Style" w:hAnsi="Bookman Old Style"/>
                <w:b/>
                <w:sz w:val="22"/>
                <w:szCs w:val="22"/>
              </w:rPr>
            </w:pPr>
            <w:r>
              <w:rPr>
                <w:rFonts w:ascii="Bookman Old Style" w:hAnsi="Bookman Old Style"/>
                <w:b/>
                <w:sz w:val="22"/>
                <w:szCs w:val="22"/>
              </w:rPr>
              <w:t xml:space="preserve"> </w:t>
            </w:r>
            <w:r w:rsidR="003B6B81" w:rsidRPr="004E30BD">
              <w:rPr>
                <w:rFonts w:ascii="Bookman Old Style" w:hAnsi="Bookman Old Style"/>
                <w:b/>
                <w:sz w:val="22"/>
                <w:szCs w:val="22"/>
              </w:rPr>
              <w:t>La rappresentazione del problema da risolvere e delle criticità constatate, anche con riferimento al contesto internazionale ed europeo, nonché delle esigenze sociali ed economiche considerate</w:t>
            </w:r>
          </w:p>
          <w:p w14:paraId="19434735" w14:textId="77777777" w:rsidR="003B6B81" w:rsidRDefault="003B6B81" w:rsidP="001E1098">
            <w:pPr>
              <w:jc w:val="both"/>
              <w:rPr>
                <w:rFonts w:ascii="Bookman Old Style" w:hAnsi="Bookman Old Style"/>
                <w:sz w:val="22"/>
                <w:szCs w:val="22"/>
              </w:rPr>
            </w:pPr>
          </w:p>
          <w:p w14:paraId="4700899D" w14:textId="27630A82" w:rsidR="009F1CBD" w:rsidRDefault="004156D6" w:rsidP="001E1098">
            <w:pPr>
              <w:jc w:val="both"/>
              <w:rPr>
                <w:rFonts w:ascii="Bookman Old Style" w:hAnsi="Bookman Old Style"/>
                <w:sz w:val="22"/>
                <w:szCs w:val="22"/>
              </w:rPr>
            </w:pPr>
            <w:r>
              <w:rPr>
                <w:rFonts w:ascii="Bookman Old Style" w:hAnsi="Bookman Old Style"/>
                <w:sz w:val="22"/>
                <w:szCs w:val="22"/>
              </w:rPr>
              <w:t xml:space="preserve">La sentenza del Consiglio di Stato n. 7855/2023 ha disposto il </w:t>
            </w:r>
            <w:r w:rsidR="00B60912" w:rsidRPr="00B60912">
              <w:rPr>
                <w:rFonts w:ascii="Bookman Old Style" w:hAnsi="Bookman Old Style"/>
                <w:sz w:val="22"/>
                <w:szCs w:val="22"/>
              </w:rPr>
              <w:t>passaggio di giurisdizione dell’ex zona contesa dal Comune di Sant’Egidio del Monte Albino al Comune di Pagani</w:t>
            </w:r>
            <w:r w:rsidR="00B60912">
              <w:rPr>
                <w:rFonts w:ascii="Bookman Old Style" w:hAnsi="Bookman Old Style"/>
                <w:sz w:val="22"/>
                <w:szCs w:val="22"/>
              </w:rPr>
              <w:t xml:space="preserve">. </w:t>
            </w:r>
          </w:p>
          <w:p w14:paraId="4043FEDF" w14:textId="77777777" w:rsidR="00B60912" w:rsidRDefault="00B60912" w:rsidP="001E1098">
            <w:pPr>
              <w:jc w:val="both"/>
              <w:rPr>
                <w:rFonts w:ascii="Bookman Old Style" w:hAnsi="Bookman Old Style"/>
                <w:sz w:val="22"/>
                <w:szCs w:val="22"/>
              </w:rPr>
            </w:pPr>
          </w:p>
          <w:p w14:paraId="3A9A3F08" w14:textId="25416DCF" w:rsidR="005C6543" w:rsidRPr="006A304B" w:rsidRDefault="00B60912" w:rsidP="005C6543">
            <w:pPr>
              <w:jc w:val="both"/>
              <w:rPr>
                <w:rFonts w:ascii="Bookman Old Style" w:hAnsi="Bookman Old Style"/>
                <w:bCs/>
                <w:sz w:val="22"/>
                <w:szCs w:val="22"/>
              </w:rPr>
            </w:pPr>
            <w:r>
              <w:rPr>
                <w:rFonts w:ascii="Bookman Old Style" w:hAnsi="Bookman Old Style"/>
                <w:bCs/>
                <w:sz w:val="22"/>
                <w:szCs w:val="22"/>
              </w:rPr>
              <w:t xml:space="preserve">Questo passaggio </w:t>
            </w:r>
            <w:r w:rsidR="006A304B" w:rsidRPr="006A304B">
              <w:rPr>
                <w:rFonts w:ascii="Bookman Old Style" w:hAnsi="Bookman Old Style"/>
                <w:bCs/>
                <w:sz w:val="22"/>
                <w:szCs w:val="22"/>
              </w:rPr>
              <w:t>ha statuito il trasferimento sic et simpliciter di tutta una serie di ademp</w:t>
            </w:r>
            <w:r w:rsidR="006A304B">
              <w:rPr>
                <w:rFonts w:ascii="Bookman Old Style" w:hAnsi="Bookman Old Style"/>
                <w:bCs/>
                <w:sz w:val="22"/>
                <w:szCs w:val="22"/>
              </w:rPr>
              <w:t>i</w:t>
            </w:r>
            <w:r w:rsidR="006A304B" w:rsidRPr="006A304B">
              <w:rPr>
                <w:rFonts w:ascii="Bookman Old Style" w:hAnsi="Bookman Old Style"/>
                <w:bCs/>
                <w:sz w:val="22"/>
                <w:szCs w:val="22"/>
              </w:rPr>
              <w:t xml:space="preserve">menti che solitamente i cittadini della zona contesa </w:t>
            </w:r>
            <w:r w:rsidR="006A304B">
              <w:rPr>
                <w:rFonts w:ascii="Bookman Old Style" w:hAnsi="Bookman Old Style"/>
                <w:bCs/>
                <w:sz w:val="22"/>
                <w:szCs w:val="22"/>
              </w:rPr>
              <w:t xml:space="preserve">svolgevano presso il Comune di S. Egidio del MA al Comune di Pagani. Enormi i disguidi ed i problemi che si vengono a creare a causa di tale drastico trasferimento per tutti i cittadini che, storicamente, hanno sempre ritenuto di appartenere al Comune di S. Egidio del M.A.. problemi di anagrafe, autorizzazioni amministrative, pratiche edilizie ed ogni altro adempimento di competenza del Comune viene, da un giorno all’altro, trasferito ad un altro Comune che, peraltro, non dispone ancora nemmeno degli archivi amministrativi per poter gestire tutti gli adempimenti necessari. </w:t>
            </w:r>
          </w:p>
          <w:p w14:paraId="594D85F0" w14:textId="77777777" w:rsidR="00152ECF" w:rsidRPr="004E30BD" w:rsidRDefault="00152ECF" w:rsidP="001E1098">
            <w:pPr>
              <w:jc w:val="both"/>
              <w:rPr>
                <w:rFonts w:ascii="Bookman Old Style" w:hAnsi="Bookman Old Style"/>
                <w:sz w:val="22"/>
                <w:szCs w:val="22"/>
              </w:rPr>
            </w:pPr>
          </w:p>
          <w:p w14:paraId="0E182A6C" w14:textId="77777777" w:rsidR="002422BB" w:rsidRPr="004E30BD" w:rsidRDefault="002422BB" w:rsidP="00462651">
            <w:pPr>
              <w:pStyle w:val="Paragrafoelenco"/>
              <w:numPr>
                <w:ilvl w:val="0"/>
                <w:numId w:val="1"/>
              </w:numPr>
              <w:ind w:left="325"/>
              <w:jc w:val="both"/>
              <w:rPr>
                <w:rFonts w:ascii="Bookman Old Style" w:hAnsi="Bookman Old Style"/>
                <w:b/>
                <w:sz w:val="22"/>
                <w:szCs w:val="22"/>
              </w:rPr>
            </w:pPr>
            <w:r w:rsidRPr="004E30BD">
              <w:rPr>
                <w:rFonts w:ascii="Bookman Old Style" w:hAnsi="Bookman Old Style"/>
                <w:b/>
                <w:sz w:val="22"/>
                <w:szCs w:val="22"/>
              </w:rPr>
              <w:t>Indicazione degli obiettivi perseguiti con l’intervento normativo.</w:t>
            </w:r>
          </w:p>
          <w:p w14:paraId="502029BB" w14:textId="77777777" w:rsidR="002422BB" w:rsidRPr="004E30BD" w:rsidRDefault="002422BB" w:rsidP="001E1098">
            <w:pPr>
              <w:jc w:val="both"/>
              <w:rPr>
                <w:rFonts w:ascii="Bookman Old Style" w:hAnsi="Bookman Old Style"/>
                <w:sz w:val="22"/>
                <w:szCs w:val="22"/>
              </w:rPr>
            </w:pPr>
          </w:p>
          <w:p w14:paraId="2DC94795" w14:textId="4228F153" w:rsidR="00DA7638" w:rsidRPr="00DA7638" w:rsidRDefault="00DA7638" w:rsidP="00DA7638">
            <w:pPr>
              <w:jc w:val="both"/>
              <w:rPr>
                <w:rFonts w:ascii="Bookman Old Style" w:hAnsi="Bookman Old Style"/>
                <w:bCs/>
                <w:sz w:val="22"/>
                <w:szCs w:val="22"/>
              </w:rPr>
            </w:pPr>
            <w:r>
              <w:rPr>
                <w:rFonts w:ascii="Bookman Old Style" w:hAnsi="Bookman Old Style"/>
                <w:sz w:val="22"/>
                <w:szCs w:val="22"/>
              </w:rPr>
              <w:t xml:space="preserve">La norma intende </w:t>
            </w:r>
            <w:r w:rsidR="00B60912">
              <w:rPr>
                <w:rFonts w:ascii="Bookman Old Style" w:hAnsi="Bookman Old Style"/>
                <w:sz w:val="22"/>
                <w:szCs w:val="22"/>
              </w:rPr>
              <w:t xml:space="preserve">ripristinare la situazione quo ante la citata Sentenza </w:t>
            </w:r>
            <w:r w:rsidR="006A304B">
              <w:rPr>
                <w:rFonts w:ascii="Bookman Old Style" w:hAnsi="Bookman Old Style"/>
                <w:sz w:val="22"/>
                <w:szCs w:val="22"/>
              </w:rPr>
              <w:t>dando continuità amministrativa agli atti in capo al Comune di originaria appartenenza della zona contesa.</w:t>
            </w:r>
          </w:p>
          <w:p w14:paraId="3677B191" w14:textId="77777777" w:rsidR="00A1500B" w:rsidRPr="004E30BD" w:rsidRDefault="00A1500B" w:rsidP="001E1098">
            <w:pPr>
              <w:pStyle w:val="Paragrafoelenco"/>
              <w:jc w:val="both"/>
              <w:rPr>
                <w:rFonts w:ascii="Bookman Old Style" w:hAnsi="Bookman Old Style"/>
                <w:b/>
                <w:sz w:val="22"/>
                <w:szCs w:val="22"/>
              </w:rPr>
            </w:pPr>
          </w:p>
          <w:p w14:paraId="03EAF33B" w14:textId="77777777" w:rsidR="00AB0BC7" w:rsidRPr="004E30BD" w:rsidRDefault="00AB0BC7" w:rsidP="00462651">
            <w:pPr>
              <w:pStyle w:val="Paragrafoelenco"/>
              <w:numPr>
                <w:ilvl w:val="0"/>
                <w:numId w:val="1"/>
              </w:numPr>
              <w:autoSpaceDE w:val="0"/>
              <w:autoSpaceDN w:val="0"/>
              <w:adjustRightInd w:val="0"/>
              <w:ind w:left="325"/>
              <w:jc w:val="both"/>
              <w:rPr>
                <w:rFonts w:ascii="Bookman Old Style" w:hAnsi="Bookman Old Style"/>
                <w:b/>
                <w:sz w:val="22"/>
                <w:szCs w:val="22"/>
              </w:rPr>
            </w:pPr>
            <w:r w:rsidRPr="004E30BD">
              <w:rPr>
                <w:rFonts w:ascii="Bookman Old Style" w:hAnsi="Bookman Old Style"/>
                <w:b/>
                <w:sz w:val="22"/>
                <w:szCs w:val="22"/>
              </w:rPr>
              <w:t>Indicazione delle categorie di soggetti, pubblici e privati, destinatari dei principali effetti dell’intervento regolatorio.</w:t>
            </w:r>
          </w:p>
          <w:p w14:paraId="6781C120" w14:textId="77777777" w:rsidR="00AB0BC7" w:rsidRDefault="00AB0BC7" w:rsidP="001E1098">
            <w:pPr>
              <w:autoSpaceDE w:val="0"/>
              <w:autoSpaceDN w:val="0"/>
              <w:adjustRightInd w:val="0"/>
              <w:jc w:val="both"/>
              <w:rPr>
                <w:rFonts w:ascii="Bookman Old Style" w:hAnsi="Bookman Old Style"/>
                <w:sz w:val="22"/>
                <w:szCs w:val="22"/>
              </w:rPr>
            </w:pPr>
          </w:p>
          <w:p w14:paraId="77DAC648" w14:textId="7FF07363" w:rsidR="00FB111B" w:rsidRDefault="00DA7638" w:rsidP="001E1098">
            <w:pPr>
              <w:autoSpaceDE w:val="0"/>
              <w:autoSpaceDN w:val="0"/>
              <w:adjustRightInd w:val="0"/>
              <w:jc w:val="both"/>
              <w:rPr>
                <w:rFonts w:ascii="Bookman Old Style" w:hAnsi="Bookman Old Style"/>
                <w:sz w:val="22"/>
                <w:szCs w:val="22"/>
              </w:rPr>
            </w:pPr>
            <w:r w:rsidRPr="00BA6CBE">
              <w:rPr>
                <w:rFonts w:ascii="Bookman Old Style" w:hAnsi="Bookman Old Style"/>
                <w:sz w:val="22"/>
                <w:szCs w:val="22"/>
              </w:rPr>
              <w:t>La norma è rivolta a</w:t>
            </w:r>
            <w:r w:rsidR="00B60912">
              <w:rPr>
                <w:rFonts w:ascii="Bookman Old Style" w:hAnsi="Bookman Old Style"/>
                <w:sz w:val="22"/>
                <w:szCs w:val="22"/>
              </w:rPr>
              <w:t>lle amministrazioni Comunali del Comune di Pagani, di S. Egidio del Monte Albino ed alle popolazioni interessate alla transizione dal Comune di S. Egidio del Monte Albino al Comune di Pagani.</w:t>
            </w:r>
          </w:p>
          <w:p w14:paraId="1EF5BA4F" w14:textId="77777777" w:rsidR="001E1098" w:rsidRPr="004E30BD" w:rsidRDefault="001E1098" w:rsidP="001E1098">
            <w:pPr>
              <w:autoSpaceDE w:val="0"/>
              <w:autoSpaceDN w:val="0"/>
              <w:adjustRightInd w:val="0"/>
              <w:jc w:val="both"/>
              <w:rPr>
                <w:rFonts w:ascii="Bookman Old Style" w:hAnsi="Bookman Old Style"/>
                <w:sz w:val="22"/>
                <w:szCs w:val="22"/>
              </w:rPr>
            </w:pPr>
          </w:p>
        </w:tc>
      </w:tr>
      <w:tr w:rsidR="000C24E3" w:rsidRPr="004E30BD" w14:paraId="37EA9905" w14:textId="77777777" w:rsidTr="003B6B81">
        <w:tc>
          <w:tcPr>
            <w:tcW w:w="1980" w:type="dxa"/>
            <w:vAlign w:val="center"/>
          </w:tcPr>
          <w:p w14:paraId="19ABDA24" w14:textId="77777777" w:rsidR="000C24E3" w:rsidRDefault="000C24E3" w:rsidP="000C24E3">
            <w:pPr>
              <w:rPr>
                <w:rFonts w:ascii="Bookman Old Style" w:hAnsi="Bookman Old Style"/>
                <w:b/>
                <w:sz w:val="22"/>
                <w:szCs w:val="22"/>
              </w:rPr>
            </w:pPr>
            <w:r w:rsidRPr="004E30BD">
              <w:rPr>
                <w:rFonts w:ascii="Bookman Old Style" w:hAnsi="Bookman Old Style"/>
                <w:b/>
                <w:sz w:val="22"/>
                <w:szCs w:val="22"/>
              </w:rPr>
              <w:t>Sezione 2 - Procedure di consultazione precedenti l’intervento</w:t>
            </w:r>
          </w:p>
          <w:p w14:paraId="70DC448F" w14:textId="77777777" w:rsidR="00152ECF" w:rsidRPr="004E30BD" w:rsidRDefault="00152ECF" w:rsidP="000C24E3">
            <w:pPr>
              <w:rPr>
                <w:rFonts w:ascii="Bookman Old Style" w:hAnsi="Bookman Old Style"/>
                <w:b/>
                <w:sz w:val="22"/>
                <w:szCs w:val="22"/>
              </w:rPr>
            </w:pPr>
          </w:p>
        </w:tc>
        <w:tc>
          <w:tcPr>
            <w:tcW w:w="8080" w:type="dxa"/>
            <w:vAlign w:val="center"/>
          </w:tcPr>
          <w:p w14:paraId="2875527F" w14:textId="4E4E2B37" w:rsidR="00152ECF" w:rsidRPr="00E778C3" w:rsidRDefault="00386875" w:rsidP="00E778C3">
            <w:pPr>
              <w:jc w:val="both"/>
              <w:rPr>
                <w:rFonts w:ascii="Bookman Old Style" w:hAnsi="Bookman Old Style"/>
                <w:sz w:val="22"/>
                <w:szCs w:val="22"/>
              </w:rPr>
            </w:pPr>
            <w:r>
              <w:rPr>
                <w:rFonts w:ascii="Bookman Old Style" w:hAnsi="Bookman Old Style"/>
                <w:sz w:val="22"/>
                <w:szCs w:val="22"/>
              </w:rPr>
              <w:t>Verranno auditi tutti gli stakeholders di riferimento</w:t>
            </w:r>
          </w:p>
        </w:tc>
      </w:tr>
      <w:tr w:rsidR="000C24E3" w:rsidRPr="004E30BD" w14:paraId="78C0A42E" w14:textId="77777777" w:rsidTr="003B6B81">
        <w:tc>
          <w:tcPr>
            <w:tcW w:w="1980" w:type="dxa"/>
            <w:vAlign w:val="center"/>
          </w:tcPr>
          <w:p w14:paraId="3DFD2836" w14:textId="77777777" w:rsidR="000C24E3" w:rsidRPr="004E30BD" w:rsidRDefault="000C24E3" w:rsidP="000C24E3">
            <w:pPr>
              <w:rPr>
                <w:rFonts w:ascii="Bookman Old Style" w:hAnsi="Bookman Old Style"/>
                <w:b/>
                <w:sz w:val="22"/>
                <w:szCs w:val="22"/>
              </w:rPr>
            </w:pPr>
            <w:r w:rsidRPr="004E30BD">
              <w:rPr>
                <w:rFonts w:ascii="Bookman Old Style" w:hAnsi="Bookman Old Style"/>
                <w:b/>
                <w:sz w:val="22"/>
                <w:szCs w:val="22"/>
              </w:rPr>
              <w:t>Sezione 3 - Valutazione dell’opzione di non intervento di regolamentazione (opzione zero)</w:t>
            </w:r>
          </w:p>
        </w:tc>
        <w:tc>
          <w:tcPr>
            <w:tcW w:w="8080" w:type="dxa"/>
            <w:vAlign w:val="center"/>
          </w:tcPr>
          <w:p w14:paraId="33FC7FD4" w14:textId="59DD98F2" w:rsidR="006D0E66" w:rsidRPr="004E30BD" w:rsidRDefault="00745F1B" w:rsidP="00E778C3">
            <w:pPr>
              <w:jc w:val="both"/>
              <w:rPr>
                <w:rFonts w:ascii="Bookman Old Style" w:hAnsi="Bookman Old Style"/>
                <w:sz w:val="22"/>
                <w:szCs w:val="22"/>
              </w:rPr>
            </w:pPr>
            <w:r w:rsidRPr="00E778C3">
              <w:rPr>
                <w:rFonts w:ascii="Bookman Old Style" w:hAnsi="Bookman Old Style"/>
                <w:sz w:val="22"/>
                <w:szCs w:val="22"/>
              </w:rPr>
              <w:t xml:space="preserve">La cd. Opzione zero rappresenterebbe un prolungamento </w:t>
            </w:r>
            <w:r w:rsidR="006A304B">
              <w:rPr>
                <w:rFonts w:ascii="Bookman Old Style" w:hAnsi="Bookman Old Style"/>
                <w:sz w:val="22"/>
                <w:szCs w:val="22"/>
              </w:rPr>
              <w:t>della defatigante situazione nella quale si trovano i cittadini della zona contesa che, peraltro richiedono con forza il ripristino della situazione amministrativa che recedeva la sentenza che ha disposto la modifica.</w:t>
            </w:r>
          </w:p>
        </w:tc>
      </w:tr>
      <w:tr w:rsidR="000C24E3" w:rsidRPr="004E30BD" w14:paraId="1C6F6235" w14:textId="77777777" w:rsidTr="003B6B81">
        <w:tc>
          <w:tcPr>
            <w:tcW w:w="1980" w:type="dxa"/>
            <w:vAlign w:val="center"/>
          </w:tcPr>
          <w:p w14:paraId="11677372" w14:textId="77777777" w:rsidR="000C24E3" w:rsidRDefault="000C24E3" w:rsidP="000C24E3">
            <w:pPr>
              <w:rPr>
                <w:rFonts w:ascii="Bookman Old Style" w:hAnsi="Bookman Old Style"/>
                <w:b/>
                <w:sz w:val="22"/>
                <w:szCs w:val="22"/>
              </w:rPr>
            </w:pPr>
            <w:r w:rsidRPr="004E30BD">
              <w:rPr>
                <w:rFonts w:ascii="Bookman Old Style" w:hAnsi="Bookman Old Style"/>
                <w:b/>
                <w:sz w:val="22"/>
                <w:szCs w:val="22"/>
              </w:rPr>
              <w:t xml:space="preserve">Sezione 4 - Opzioni </w:t>
            </w:r>
            <w:r w:rsidRPr="004E30BD">
              <w:rPr>
                <w:rFonts w:ascii="Bookman Old Style" w:hAnsi="Bookman Old Style"/>
                <w:b/>
                <w:sz w:val="22"/>
                <w:szCs w:val="22"/>
              </w:rPr>
              <w:lastRenderedPageBreak/>
              <w:t>alternative all’intervento regolatorio</w:t>
            </w:r>
          </w:p>
          <w:p w14:paraId="48C4A445" w14:textId="77777777" w:rsidR="00152ECF" w:rsidRDefault="00152ECF" w:rsidP="000C24E3">
            <w:pPr>
              <w:rPr>
                <w:rFonts w:ascii="Bookman Old Style" w:hAnsi="Bookman Old Style"/>
                <w:b/>
                <w:sz w:val="22"/>
                <w:szCs w:val="22"/>
              </w:rPr>
            </w:pPr>
          </w:p>
          <w:p w14:paraId="3ADECC53" w14:textId="77777777" w:rsidR="00152ECF" w:rsidRPr="004E30BD" w:rsidRDefault="00152ECF" w:rsidP="000C24E3">
            <w:pPr>
              <w:rPr>
                <w:rFonts w:ascii="Bookman Old Style" w:hAnsi="Bookman Old Style"/>
                <w:b/>
                <w:sz w:val="22"/>
                <w:szCs w:val="22"/>
              </w:rPr>
            </w:pPr>
          </w:p>
        </w:tc>
        <w:tc>
          <w:tcPr>
            <w:tcW w:w="8080" w:type="dxa"/>
            <w:vAlign w:val="center"/>
          </w:tcPr>
          <w:p w14:paraId="10515D27" w14:textId="7B62BFA5" w:rsidR="006D0E66" w:rsidRPr="00E778C3" w:rsidRDefault="00A1500B" w:rsidP="00E778C3">
            <w:pPr>
              <w:jc w:val="both"/>
              <w:rPr>
                <w:rFonts w:ascii="Bookman Old Style" w:hAnsi="Bookman Old Style"/>
                <w:sz w:val="22"/>
                <w:szCs w:val="22"/>
              </w:rPr>
            </w:pPr>
            <w:r>
              <w:rPr>
                <w:rFonts w:ascii="Bookman Old Style" w:hAnsi="Bookman Old Style"/>
                <w:sz w:val="22"/>
                <w:szCs w:val="22"/>
              </w:rPr>
              <w:lastRenderedPageBreak/>
              <w:t>Non appaiono possibili altri interventi di modifica normativa</w:t>
            </w:r>
          </w:p>
        </w:tc>
      </w:tr>
      <w:tr w:rsidR="000C24E3" w:rsidRPr="004E30BD" w14:paraId="44B0F681" w14:textId="77777777" w:rsidTr="003B6B81">
        <w:tc>
          <w:tcPr>
            <w:tcW w:w="1980" w:type="dxa"/>
            <w:vAlign w:val="center"/>
          </w:tcPr>
          <w:p w14:paraId="78175834" w14:textId="77777777" w:rsidR="000C24E3" w:rsidRPr="004E30BD" w:rsidRDefault="000C24E3" w:rsidP="000C24E3">
            <w:pPr>
              <w:rPr>
                <w:rFonts w:ascii="Bookman Old Style" w:hAnsi="Bookman Old Style"/>
                <w:b/>
                <w:sz w:val="22"/>
                <w:szCs w:val="22"/>
              </w:rPr>
            </w:pPr>
            <w:r w:rsidRPr="004E30BD">
              <w:rPr>
                <w:rFonts w:ascii="Bookman Old Style" w:hAnsi="Bookman Old Style"/>
                <w:b/>
                <w:sz w:val="22"/>
                <w:szCs w:val="22"/>
              </w:rPr>
              <w:t>Sezione 5 - Giustificazione dell’opzione regolatoria proposta e valutazione degli oneri amministrativi e dell’impatto sulle PMI</w:t>
            </w:r>
          </w:p>
        </w:tc>
        <w:tc>
          <w:tcPr>
            <w:tcW w:w="8080" w:type="dxa"/>
            <w:vAlign w:val="center"/>
          </w:tcPr>
          <w:p w14:paraId="329FB1A3" w14:textId="77777777" w:rsidR="00B7244B" w:rsidRPr="004E30BD" w:rsidRDefault="00B7244B" w:rsidP="00462651">
            <w:pPr>
              <w:pStyle w:val="Paragrafoelenco"/>
              <w:numPr>
                <w:ilvl w:val="0"/>
                <w:numId w:val="8"/>
              </w:numPr>
              <w:ind w:left="325"/>
              <w:jc w:val="both"/>
              <w:rPr>
                <w:rFonts w:ascii="Bookman Old Style" w:hAnsi="Bookman Old Style"/>
                <w:b/>
                <w:sz w:val="22"/>
                <w:szCs w:val="22"/>
              </w:rPr>
            </w:pPr>
            <w:r w:rsidRPr="004E30BD">
              <w:rPr>
                <w:rFonts w:ascii="Bookman Old Style" w:hAnsi="Bookman Old Style"/>
                <w:b/>
                <w:sz w:val="22"/>
                <w:szCs w:val="22"/>
              </w:rPr>
              <w:t>Svantaggi e vantaggi dell’opzione prescelta per i destinatari diretti e indiretti</w:t>
            </w:r>
          </w:p>
          <w:p w14:paraId="336E7FAD" w14:textId="77777777" w:rsidR="00B7244B" w:rsidRDefault="00B7244B" w:rsidP="001E1098">
            <w:pPr>
              <w:jc w:val="both"/>
              <w:rPr>
                <w:rFonts w:ascii="Bookman Old Style" w:hAnsi="Bookman Old Style"/>
                <w:sz w:val="22"/>
                <w:szCs w:val="22"/>
              </w:rPr>
            </w:pPr>
          </w:p>
          <w:p w14:paraId="282D688F" w14:textId="63FF944C" w:rsidR="00A1500B" w:rsidRPr="00A1500B" w:rsidRDefault="006A304B" w:rsidP="00A1500B">
            <w:pPr>
              <w:jc w:val="both"/>
              <w:rPr>
                <w:rFonts w:ascii="Bookman Old Style" w:hAnsi="Bookman Old Style"/>
                <w:bCs/>
                <w:sz w:val="22"/>
                <w:szCs w:val="22"/>
              </w:rPr>
            </w:pPr>
            <w:r>
              <w:rPr>
                <w:rFonts w:ascii="Bookman Old Style" w:hAnsi="Bookman Old Style"/>
                <w:bCs/>
                <w:sz w:val="22"/>
                <w:szCs w:val="22"/>
              </w:rPr>
              <w:t>La Proposta di legge che si propone mira ad eliminare tutti i disagi, le incertezze ed i problemi generati sulla cittadinanza interessata da un trasferimento di competenze amministrative mai richiesto né desiderato.</w:t>
            </w:r>
          </w:p>
          <w:p w14:paraId="6C969F9A" w14:textId="77777777" w:rsidR="00745F1B" w:rsidRDefault="00745F1B" w:rsidP="001E1098">
            <w:pPr>
              <w:jc w:val="both"/>
              <w:rPr>
                <w:rFonts w:ascii="Bookman Old Style" w:hAnsi="Bookman Old Style"/>
                <w:sz w:val="22"/>
                <w:szCs w:val="22"/>
              </w:rPr>
            </w:pPr>
          </w:p>
          <w:p w14:paraId="6975D8B8" w14:textId="77777777" w:rsidR="00B7244B" w:rsidRPr="004E30BD" w:rsidRDefault="00745F1B" w:rsidP="00462651">
            <w:pPr>
              <w:pStyle w:val="Paragrafoelenco"/>
              <w:numPr>
                <w:ilvl w:val="0"/>
                <w:numId w:val="8"/>
              </w:numPr>
              <w:ind w:left="325"/>
              <w:jc w:val="both"/>
              <w:rPr>
                <w:rFonts w:ascii="Bookman Old Style" w:hAnsi="Bookman Old Style"/>
                <w:b/>
                <w:sz w:val="22"/>
                <w:szCs w:val="22"/>
              </w:rPr>
            </w:pPr>
            <w:r>
              <w:rPr>
                <w:rFonts w:ascii="Bookman Old Style" w:hAnsi="Bookman Old Style"/>
                <w:b/>
                <w:sz w:val="22"/>
                <w:szCs w:val="22"/>
              </w:rPr>
              <w:t>i</w:t>
            </w:r>
            <w:r w:rsidR="00B7244B" w:rsidRPr="004E30BD">
              <w:rPr>
                <w:rFonts w:ascii="Bookman Old Style" w:hAnsi="Bookman Old Style"/>
                <w:b/>
                <w:sz w:val="22"/>
                <w:szCs w:val="22"/>
              </w:rPr>
              <w:t>ndividuazione e stima degli effetti dell’opzione prescelta sulle micro, piccole e medie imprese.</w:t>
            </w:r>
          </w:p>
          <w:p w14:paraId="6907FBC2" w14:textId="77777777" w:rsidR="004C23BB" w:rsidRDefault="004C23BB" w:rsidP="001E1098">
            <w:pPr>
              <w:jc w:val="both"/>
              <w:rPr>
                <w:rFonts w:ascii="Bookman Old Style" w:hAnsi="Bookman Old Style"/>
                <w:sz w:val="22"/>
                <w:szCs w:val="22"/>
                <w:highlight w:val="yellow"/>
              </w:rPr>
            </w:pPr>
          </w:p>
          <w:p w14:paraId="140CA8B5" w14:textId="6EA6F7BB" w:rsidR="008303AC" w:rsidRPr="004E30BD" w:rsidRDefault="006A304B" w:rsidP="00B74A65">
            <w:pPr>
              <w:jc w:val="both"/>
              <w:rPr>
                <w:rFonts w:ascii="Bookman Old Style" w:hAnsi="Bookman Old Style"/>
                <w:sz w:val="22"/>
                <w:szCs w:val="22"/>
              </w:rPr>
            </w:pPr>
            <w:r>
              <w:rPr>
                <w:rFonts w:ascii="Bookman Old Style" w:hAnsi="Bookman Old Style"/>
                <w:sz w:val="22"/>
                <w:szCs w:val="22"/>
              </w:rPr>
              <w:t xml:space="preserve">La semplificazione amministrativa derivante dalla continuità </w:t>
            </w:r>
            <w:r w:rsidR="00B74A65">
              <w:rPr>
                <w:rFonts w:ascii="Bookman Old Style" w:hAnsi="Bookman Old Style"/>
                <w:sz w:val="22"/>
                <w:szCs w:val="22"/>
              </w:rPr>
              <w:t>del rapporto tra i cittadini e gli organi amministrativi con i quali erano abituati a relazionarsi</w:t>
            </w:r>
            <w:r>
              <w:rPr>
                <w:rFonts w:ascii="Bookman Old Style" w:hAnsi="Bookman Old Style"/>
                <w:sz w:val="22"/>
                <w:szCs w:val="22"/>
              </w:rPr>
              <w:t xml:space="preserve">, evitando un defatigante trasferimento di fascicoli e di competenza </w:t>
            </w:r>
            <w:r w:rsidR="00B74A65">
              <w:rPr>
                <w:rFonts w:ascii="Bookman Old Style" w:hAnsi="Bookman Old Style"/>
                <w:sz w:val="22"/>
                <w:szCs w:val="22"/>
              </w:rPr>
              <w:t xml:space="preserve">dal quale deriva un inutile dispendio di energie e </w:t>
            </w:r>
            <w:r>
              <w:rPr>
                <w:rFonts w:ascii="Bookman Old Style" w:hAnsi="Bookman Old Style"/>
                <w:sz w:val="22"/>
                <w:szCs w:val="22"/>
              </w:rPr>
              <w:t xml:space="preserve">allontanerebbe </w:t>
            </w:r>
            <w:r w:rsidR="00B74A65">
              <w:rPr>
                <w:rFonts w:ascii="Bookman Old Style" w:hAnsi="Bookman Old Style"/>
                <w:sz w:val="22"/>
                <w:szCs w:val="22"/>
              </w:rPr>
              <w:t xml:space="preserve">tutti i titolari di attività produttive </w:t>
            </w:r>
            <w:r>
              <w:rPr>
                <w:rFonts w:ascii="Bookman Old Style" w:hAnsi="Bookman Old Style"/>
                <w:sz w:val="22"/>
                <w:szCs w:val="22"/>
              </w:rPr>
              <w:t>dalla continuità amministrativa</w:t>
            </w:r>
            <w:r w:rsidR="00B74A65">
              <w:rPr>
                <w:rFonts w:ascii="Bookman Old Style" w:hAnsi="Bookman Old Style"/>
                <w:sz w:val="22"/>
                <w:szCs w:val="22"/>
              </w:rPr>
              <w:t>.</w:t>
            </w:r>
            <w:r w:rsidR="008303AC">
              <w:rPr>
                <w:rFonts w:ascii="Bookman Old Style" w:hAnsi="Bookman Old Style"/>
                <w:sz w:val="22"/>
                <w:szCs w:val="22"/>
              </w:rPr>
              <w:t xml:space="preserve"> </w:t>
            </w:r>
          </w:p>
        </w:tc>
      </w:tr>
      <w:tr w:rsidR="000C24E3" w:rsidRPr="004E30BD" w14:paraId="449760A5" w14:textId="77777777" w:rsidTr="003B6B81">
        <w:tc>
          <w:tcPr>
            <w:tcW w:w="1980" w:type="dxa"/>
            <w:vAlign w:val="center"/>
          </w:tcPr>
          <w:p w14:paraId="53ED8908" w14:textId="77777777" w:rsidR="000C24E3" w:rsidRPr="004E30BD" w:rsidRDefault="000C24E3" w:rsidP="000C24E3">
            <w:pPr>
              <w:rPr>
                <w:rFonts w:ascii="Bookman Old Style" w:hAnsi="Bookman Old Style"/>
                <w:b/>
                <w:sz w:val="22"/>
                <w:szCs w:val="22"/>
              </w:rPr>
            </w:pPr>
            <w:r w:rsidRPr="004E30BD">
              <w:rPr>
                <w:rFonts w:ascii="Bookman Old Style" w:hAnsi="Bookman Old Style"/>
                <w:b/>
                <w:sz w:val="22"/>
                <w:szCs w:val="22"/>
              </w:rPr>
              <w:t>Sezione 6 - Incidenza sul corretto funzionamento concorrenziale del mercato e sulla competitività regionale, nonché sulle politiche giovanili</w:t>
            </w:r>
          </w:p>
        </w:tc>
        <w:tc>
          <w:tcPr>
            <w:tcW w:w="8080" w:type="dxa"/>
            <w:vAlign w:val="center"/>
          </w:tcPr>
          <w:p w14:paraId="5AAECD66" w14:textId="4010F285" w:rsidR="00745F1B" w:rsidRDefault="00745F1B" w:rsidP="00E778C3">
            <w:pPr>
              <w:jc w:val="both"/>
              <w:rPr>
                <w:rFonts w:ascii="Bookman Old Style" w:hAnsi="Bookman Old Style"/>
                <w:sz w:val="22"/>
                <w:szCs w:val="22"/>
              </w:rPr>
            </w:pPr>
            <w:r>
              <w:rPr>
                <w:rFonts w:ascii="Bookman Old Style" w:hAnsi="Bookman Old Style"/>
                <w:sz w:val="22"/>
                <w:szCs w:val="22"/>
              </w:rPr>
              <w:t>La presente P</w:t>
            </w:r>
            <w:r w:rsidR="004C62E1">
              <w:rPr>
                <w:rFonts w:ascii="Bookman Old Style" w:hAnsi="Bookman Old Style"/>
                <w:sz w:val="22"/>
                <w:szCs w:val="22"/>
              </w:rPr>
              <w:t>roposta di Legge</w:t>
            </w:r>
            <w:r>
              <w:rPr>
                <w:rFonts w:ascii="Bookman Old Style" w:hAnsi="Bookman Old Style"/>
                <w:sz w:val="22"/>
                <w:szCs w:val="22"/>
              </w:rPr>
              <w:t xml:space="preserve"> non ha potere di incidere sul funzionamento della concorrenza del mercato</w:t>
            </w:r>
            <w:r w:rsidR="003713DE">
              <w:rPr>
                <w:rFonts w:ascii="Bookman Old Style" w:hAnsi="Bookman Old Style"/>
                <w:sz w:val="22"/>
                <w:szCs w:val="22"/>
              </w:rPr>
              <w:t>.</w:t>
            </w:r>
          </w:p>
          <w:p w14:paraId="567E412E" w14:textId="6534B813" w:rsidR="008303AC" w:rsidRPr="004E30BD" w:rsidRDefault="008303AC" w:rsidP="00E778C3">
            <w:pPr>
              <w:jc w:val="both"/>
              <w:rPr>
                <w:rFonts w:ascii="Bookman Old Style" w:hAnsi="Bookman Old Style"/>
                <w:sz w:val="22"/>
                <w:szCs w:val="22"/>
              </w:rPr>
            </w:pPr>
          </w:p>
        </w:tc>
      </w:tr>
      <w:tr w:rsidR="000C24E3" w:rsidRPr="004E30BD" w14:paraId="2FA9CFF5" w14:textId="77777777" w:rsidTr="003B6B81">
        <w:tc>
          <w:tcPr>
            <w:tcW w:w="1980" w:type="dxa"/>
            <w:vAlign w:val="center"/>
          </w:tcPr>
          <w:p w14:paraId="7E637919" w14:textId="77777777" w:rsidR="000C24E3" w:rsidRPr="004E30BD" w:rsidRDefault="000C24E3" w:rsidP="000C24E3">
            <w:pPr>
              <w:rPr>
                <w:rFonts w:ascii="Bookman Old Style" w:hAnsi="Bookman Old Style"/>
                <w:b/>
                <w:sz w:val="22"/>
                <w:szCs w:val="22"/>
              </w:rPr>
            </w:pPr>
            <w:r w:rsidRPr="004E30BD">
              <w:rPr>
                <w:rFonts w:ascii="Bookman Old Style" w:hAnsi="Bookman Old Style"/>
                <w:b/>
                <w:sz w:val="22"/>
                <w:szCs w:val="22"/>
              </w:rPr>
              <w:t>Sezione 7 - Modalità attuative dell’intervento di regolamentazione</w:t>
            </w:r>
          </w:p>
        </w:tc>
        <w:tc>
          <w:tcPr>
            <w:tcW w:w="8080" w:type="dxa"/>
            <w:vAlign w:val="center"/>
          </w:tcPr>
          <w:p w14:paraId="4929A825" w14:textId="77777777" w:rsidR="000C24E3" w:rsidRPr="004E30BD" w:rsidRDefault="000A654C" w:rsidP="00462651">
            <w:pPr>
              <w:pStyle w:val="Paragrafoelenco"/>
              <w:numPr>
                <w:ilvl w:val="0"/>
                <w:numId w:val="9"/>
              </w:numPr>
              <w:ind w:left="325"/>
              <w:jc w:val="both"/>
              <w:rPr>
                <w:rFonts w:ascii="Bookman Old Style" w:hAnsi="Bookman Old Style"/>
                <w:b/>
                <w:sz w:val="22"/>
                <w:szCs w:val="22"/>
              </w:rPr>
            </w:pPr>
            <w:r w:rsidRPr="004E30BD">
              <w:rPr>
                <w:rFonts w:ascii="Bookman Old Style" w:hAnsi="Bookman Old Style"/>
                <w:b/>
                <w:sz w:val="22"/>
                <w:szCs w:val="22"/>
              </w:rPr>
              <w:t>Soggetti responsabili dell’attuazione dell’intervento regolatorio</w:t>
            </w:r>
          </w:p>
          <w:p w14:paraId="5E247B37" w14:textId="77777777" w:rsidR="000A654C" w:rsidRDefault="000A654C" w:rsidP="001E1098">
            <w:pPr>
              <w:jc w:val="both"/>
              <w:rPr>
                <w:rFonts w:ascii="Bookman Old Style" w:hAnsi="Bookman Old Style"/>
                <w:sz w:val="22"/>
                <w:szCs w:val="22"/>
              </w:rPr>
            </w:pPr>
          </w:p>
          <w:p w14:paraId="01E5F91E" w14:textId="55B1A747" w:rsidR="008303AC" w:rsidRDefault="00745F1B" w:rsidP="00DA61CB">
            <w:pPr>
              <w:jc w:val="both"/>
              <w:rPr>
                <w:rFonts w:ascii="Bookman Old Style" w:hAnsi="Bookman Old Style"/>
                <w:sz w:val="22"/>
                <w:szCs w:val="22"/>
              </w:rPr>
            </w:pPr>
            <w:r>
              <w:rPr>
                <w:rFonts w:ascii="Bookman Old Style" w:hAnsi="Bookman Old Style"/>
                <w:sz w:val="22"/>
                <w:szCs w:val="22"/>
              </w:rPr>
              <w:t>Regione Campania</w:t>
            </w:r>
            <w:r w:rsidR="00790CC4">
              <w:rPr>
                <w:rFonts w:ascii="Bookman Old Style" w:hAnsi="Bookman Old Style"/>
                <w:sz w:val="22"/>
                <w:szCs w:val="22"/>
              </w:rPr>
              <w:t xml:space="preserve">; </w:t>
            </w:r>
            <w:r w:rsidR="00DA61CB">
              <w:rPr>
                <w:rFonts w:ascii="Bookman Old Style" w:hAnsi="Bookman Old Style"/>
                <w:sz w:val="22"/>
                <w:szCs w:val="22"/>
              </w:rPr>
              <w:t>Provincia di Salerno, Comune di S. Egidio del M.A., Comune di Pagani.</w:t>
            </w:r>
          </w:p>
          <w:p w14:paraId="09AAB0E2" w14:textId="77777777" w:rsidR="00152ECF" w:rsidRPr="004E30BD" w:rsidRDefault="00152ECF" w:rsidP="001E1098">
            <w:pPr>
              <w:jc w:val="both"/>
              <w:rPr>
                <w:rFonts w:ascii="Bookman Old Style" w:hAnsi="Bookman Old Style"/>
                <w:sz w:val="22"/>
                <w:szCs w:val="22"/>
              </w:rPr>
            </w:pPr>
          </w:p>
          <w:p w14:paraId="745080FA" w14:textId="77777777" w:rsidR="00263BE5" w:rsidRPr="004E30BD" w:rsidRDefault="00263BE5" w:rsidP="00462651">
            <w:pPr>
              <w:pStyle w:val="Paragrafoelenco"/>
              <w:numPr>
                <w:ilvl w:val="0"/>
                <w:numId w:val="9"/>
              </w:numPr>
              <w:ind w:left="325"/>
              <w:jc w:val="both"/>
              <w:rPr>
                <w:rFonts w:ascii="Bookman Old Style" w:hAnsi="Bookman Old Style"/>
                <w:b/>
                <w:sz w:val="22"/>
                <w:szCs w:val="22"/>
              </w:rPr>
            </w:pPr>
            <w:r w:rsidRPr="004E30BD">
              <w:rPr>
                <w:rFonts w:ascii="Bookman Old Style" w:hAnsi="Bookman Old Style"/>
                <w:b/>
                <w:sz w:val="22"/>
                <w:szCs w:val="22"/>
              </w:rPr>
              <w:t>Strumenti e modalità per il controllo e il monitoraggio dell’intervento regolatorio</w:t>
            </w:r>
          </w:p>
          <w:p w14:paraId="4F70DD79" w14:textId="77777777" w:rsidR="00263BE5" w:rsidRDefault="00263BE5" w:rsidP="001E1098">
            <w:pPr>
              <w:jc w:val="both"/>
              <w:rPr>
                <w:rFonts w:ascii="Bookman Old Style" w:hAnsi="Bookman Old Style"/>
                <w:sz w:val="22"/>
                <w:szCs w:val="22"/>
              </w:rPr>
            </w:pPr>
          </w:p>
          <w:p w14:paraId="072EE0D2" w14:textId="08EC5791" w:rsidR="007C2826" w:rsidRPr="007C2826" w:rsidRDefault="00DA61CB" w:rsidP="00E778C3">
            <w:pPr>
              <w:ind w:left="41"/>
              <w:jc w:val="both"/>
              <w:rPr>
                <w:rFonts w:ascii="Bookman Old Style" w:hAnsi="Bookman Old Style"/>
                <w:sz w:val="22"/>
                <w:szCs w:val="22"/>
              </w:rPr>
            </w:pPr>
            <w:r>
              <w:rPr>
                <w:rFonts w:ascii="Bookman Old Style" w:hAnsi="Bookman Old Style"/>
                <w:sz w:val="22"/>
                <w:szCs w:val="22"/>
              </w:rPr>
              <w:t>La Regione Campania, la Provincia di Salerno ed i due Comuni interessati</w:t>
            </w:r>
            <w:r w:rsidR="007C2826" w:rsidRPr="007C2826">
              <w:rPr>
                <w:rFonts w:ascii="Bookman Old Style" w:hAnsi="Bookman Old Style"/>
                <w:sz w:val="22"/>
                <w:szCs w:val="22"/>
              </w:rPr>
              <w:t>.</w:t>
            </w:r>
          </w:p>
          <w:p w14:paraId="7E36BD5A" w14:textId="77777777" w:rsidR="00263BE5" w:rsidRDefault="00263BE5" w:rsidP="001E1098">
            <w:pPr>
              <w:autoSpaceDE w:val="0"/>
              <w:autoSpaceDN w:val="0"/>
              <w:adjustRightInd w:val="0"/>
              <w:jc w:val="both"/>
              <w:rPr>
                <w:rFonts w:ascii="Bookman Old Style" w:hAnsi="Bookman Old Style"/>
                <w:sz w:val="22"/>
                <w:szCs w:val="22"/>
                <w:lang w:eastAsia="en-US"/>
              </w:rPr>
            </w:pPr>
          </w:p>
          <w:p w14:paraId="150B242D" w14:textId="77777777" w:rsidR="00263BE5" w:rsidRPr="004E30BD" w:rsidRDefault="00263BE5" w:rsidP="00462651">
            <w:pPr>
              <w:pStyle w:val="Paragrafoelenco"/>
              <w:numPr>
                <w:ilvl w:val="0"/>
                <w:numId w:val="9"/>
              </w:numPr>
              <w:ind w:left="325"/>
              <w:jc w:val="both"/>
              <w:rPr>
                <w:rFonts w:ascii="Bookman Old Style" w:hAnsi="Bookman Old Style"/>
                <w:b/>
                <w:sz w:val="22"/>
                <w:szCs w:val="22"/>
              </w:rPr>
            </w:pPr>
            <w:r w:rsidRPr="004E30BD">
              <w:rPr>
                <w:rFonts w:ascii="Bookman Old Style" w:hAnsi="Bookman Old Style"/>
                <w:b/>
                <w:sz w:val="22"/>
                <w:szCs w:val="22"/>
              </w:rPr>
              <w:t>Meccanismi previsti per la revisione dell’intervento regolatorio</w:t>
            </w:r>
          </w:p>
          <w:p w14:paraId="67779D33" w14:textId="77777777" w:rsidR="00263BE5" w:rsidRDefault="00263BE5" w:rsidP="001E1098">
            <w:pPr>
              <w:jc w:val="both"/>
              <w:rPr>
                <w:rFonts w:ascii="Bookman Old Style" w:hAnsi="Bookman Old Style"/>
                <w:sz w:val="22"/>
                <w:szCs w:val="22"/>
              </w:rPr>
            </w:pPr>
          </w:p>
          <w:p w14:paraId="2DB7746E" w14:textId="2E00FB21" w:rsidR="00AB0293" w:rsidRPr="00AB0293" w:rsidRDefault="003713DE" w:rsidP="001E1098">
            <w:pPr>
              <w:ind w:left="327"/>
              <w:jc w:val="both"/>
              <w:rPr>
                <w:rFonts w:ascii="Bookman Old Style" w:hAnsi="Bookman Old Style"/>
                <w:sz w:val="22"/>
                <w:szCs w:val="22"/>
              </w:rPr>
            </w:pPr>
            <w:r>
              <w:rPr>
                <w:rFonts w:ascii="Bookman Old Style" w:hAnsi="Bookman Old Style"/>
                <w:sz w:val="22"/>
                <w:szCs w:val="22"/>
              </w:rPr>
              <w:t>Nel caso l’</w:t>
            </w:r>
            <w:r w:rsidR="002340E6">
              <w:rPr>
                <w:rFonts w:ascii="Bookman Old Style" w:hAnsi="Bookman Old Style"/>
                <w:sz w:val="22"/>
                <w:szCs w:val="22"/>
              </w:rPr>
              <w:t>intervento non si rivelasse efficace</w:t>
            </w:r>
            <w:r w:rsidR="009D45EF">
              <w:rPr>
                <w:rFonts w:ascii="Bookman Old Style" w:hAnsi="Bookman Old Style"/>
                <w:sz w:val="22"/>
                <w:szCs w:val="22"/>
              </w:rPr>
              <w:t xml:space="preserve">, si interverrà con un ulteriore correttivo prescrittivo </w:t>
            </w:r>
          </w:p>
          <w:p w14:paraId="71FA700E" w14:textId="77777777" w:rsidR="00152ECF" w:rsidRPr="004E30BD" w:rsidRDefault="00152ECF" w:rsidP="001E1098">
            <w:pPr>
              <w:ind w:left="327"/>
              <w:jc w:val="both"/>
              <w:rPr>
                <w:rFonts w:ascii="Bookman Old Style" w:hAnsi="Bookman Old Style"/>
                <w:sz w:val="22"/>
                <w:szCs w:val="22"/>
              </w:rPr>
            </w:pPr>
          </w:p>
        </w:tc>
      </w:tr>
      <w:tr w:rsidR="000C24E3" w:rsidRPr="004E30BD" w14:paraId="7336E92F" w14:textId="77777777" w:rsidTr="00452D01">
        <w:trPr>
          <w:trHeight w:val="1034"/>
        </w:trPr>
        <w:tc>
          <w:tcPr>
            <w:tcW w:w="1980" w:type="dxa"/>
            <w:vAlign w:val="center"/>
          </w:tcPr>
          <w:p w14:paraId="209BC20C" w14:textId="77777777" w:rsidR="000C24E3" w:rsidRDefault="000C24E3" w:rsidP="000C24E3">
            <w:pPr>
              <w:rPr>
                <w:rFonts w:ascii="Bookman Old Style" w:hAnsi="Bookman Old Style"/>
                <w:b/>
                <w:sz w:val="22"/>
                <w:szCs w:val="22"/>
              </w:rPr>
            </w:pPr>
            <w:r w:rsidRPr="004E30BD">
              <w:rPr>
                <w:rFonts w:ascii="Bookman Old Style" w:hAnsi="Bookman Old Style"/>
                <w:b/>
                <w:sz w:val="22"/>
                <w:szCs w:val="22"/>
              </w:rPr>
              <w:lastRenderedPageBreak/>
              <w:t>Sezione 8 - Rispetto dei livelli minimi di regolazione europea</w:t>
            </w:r>
          </w:p>
          <w:p w14:paraId="12700A3F" w14:textId="77777777" w:rsidR="00152ECF" w:rsidRPr="004E30BD" w:rsidRDefault="00152ECF" w:rsidP="000C24E3">
            <w:pPr>
              <w:rPr>
                <w:rFonts w:ascii="Bookman Old Style" w:hAnsi="Bookman Old Style"/>
                <w:b/>
                <w:sz w:val="22"/>
                <w:szCs w:val="22"/>
              </w:rPr>
            </w:pPr>
          </w:p>
        </w:tc>
        <w:tc>
          <w:tcPr>
            <w:tcW w:w="8080" w:type="dxa"/>
            <w:vAlign w:val="center"/>
          </w:tcPr>
          <w:p w14:paraId="3E0D246E" w14:textId="77777777" w:rsidR="001C272C" w:rsidRPr="001C272C" w:rsidRDefault="001C272C" w:rsidP="001C272C">
            <w:pPr>
              <w:ind w:left="327"/>
              <w:jc w:val="both"/>
              <w:rPr>
                <w:rFonts w:ascii="Bookman Old Style" w:hAnsi="Bookman Old Style"/>
                <w:sz w:val="22"/>
                <w:szCs w:val="22"/>
              </w:rPr>
            </w:pPr>
            <w:r w:rsidRPr="001C272C">
              <w:rPr>
                <w:rFonts w:ascii="Bookman Old Style" w:hAnsi="Bookman Old Style"/>
                <w:sz w:val="22"/>
                <w:szCs w:val="22"/>
              </w:rPr>
              <w:t>Come previsto in attuazione dei commi 24-bis, 24-ter, 24-quater</w:t>
            </w:r>
          </w:p>
          <w:p w14:paraId="193B7318" w14:textId="77777777" w:rsidR="001C272C" w:rsidRPr="001C272C" w:rsidRDefault="001C272C" w:rsidP="001C272C">
            <w:pPr>
              <w:ind w:left="327"/>
              <w:jc w:val="both"/>
              <w:rPr>
                <w:rFonts w:ascii="Bookman Old Style" w:hAnsi="Bookman Old Style"/>
                <w:sz w:val="22"/>
                <w:szCs w:val="22"/>
              </w:rPr>
            </w:pPr>
            <w:r w:rsidRPr="001C272C">
              <w:rPr>
                <w:rFonts w:ascii="Bookman Old Style" w:hAnsi="Bookman Old Style"/>
                <w:sz w:val="22"/>
                <w:szCs w:val="22"/>
              </w:rPr>
              <w:t>dell’art. 14 della legge 28 novembre 2005, n. 246, la presente proposta</w:t>
            </w:r>
          </w:p>
          <w:p w14:paraId="18BB1F1C" w14:textId="77777777" w:rsidR="001C272C" w:rsidRPr="001C272C" w:rsidRDefault="001C272C" w:rsidP="001C272C">
            <w:pPr>
              <w:ind w:left="327"/>
              <w:jc w:val="both"/>
              <w:rPr>
                <w:rFonts w:ascii="Bookman Old Style" w:hAnsi="Bookman Old Style"/>
                <w:sz w:val="22"/>
                <w:szCs w:val="22"/>
              </w:rPr>
            </w:pPr>
            <w:r w:rsidRPr="001C272C">
              <w:rPr>
                <w:rFonts w:ascii="Bookman Old Style" w:hAnsi="Bookman Old Style"/>
                <w:sz w:val="22"/>
                <w:szCs w:val="22"/>
              </w:rPr>
              <w:t>normativa non prevede l’introduzione o il mantenimento di livelli di</w:t>
            </w:r>
          </w:p>
          <w:p w14:paraId="5DA54246" w14:textId="77777777" w:rsidR="001C272C" w:rsidRPr="001C272C" w:rsidRDefault="001C272C" w:rsidP="001C272C">
            <w:pPr>
              <w:ind w:left="327"/>
              <w:jc w:val="both"/>
              <w:rPr>
                <w:rFonts w:ascii="Bookman Old Style" w:hAnsi="Bookman Old Style"/>
                <w:sz w:val="22"/>
                <w:szCs w:val="22"/>
              </w:rPr>
            </w:pPr>
            <w:r w:rsidRPr="001C272C">
              <w:rPr>
                <w:rFonts w:ascii="Bookman Old Style" w:hAnsi="Bookman Old Style"/>
                <w:sz w:val="22"/>
                <w:szCs w:val="22"/>
              </w:rPr>
              <w:t>regolazione superiori a quelli minimi richiesti dalle direttive europee</w:t>
            </w:r>
          </w:p>
          <w:p w14:paraId="27EC4DC0" w14:textId="77777777" w:rsidR="001C272C" w:rsidRPr="001C272C" w:rsidRDefault="001C272C" w:rsidP="001C272C">
            <w:pPr>
              <w:ind w:left="327"/>
              <w:jc w:val="both"/>
              <w:rPr>
                <w:rFonts w:ascii="Bookman Old Style" w:hAnsi="Bookman Old Style"/>
                <w:sz w:val="22"/>
                <w:szCs w:val="22"/>
              </w:rPr>
            </w:pPr>
            <w:r w:rsidRPr="001C272C">
              <w:rPr>
                <w:rFonts w:ascii="Bookman Old Style" w:hAnsi="Bookman Old Style"/>
                <w:sz w:val="22"/>
                <w:szCs w:val="22"/>
              </w:rPr>
              <w:t>che va ad attuare. In particolare:</w:t>
            </w:r>
          </w:p>
          <w:p w14:paraId="62EDDC30" w14:textId="7F77F13B" w:rsidR="001C272C" w:rsidRPr="001C272C" w:rsidRDefault="001C272C" w:rsidP="009862FB">
            <w:pPr>
              <w:pStyle w:val="Paragrafoelenco"/>
              <w:numPr>
                <w:ilvl w:val="0"/>
                <w:numId w:val="14"/>
              </w:numPr>
              <w:ind w:left="608"/>
              <w:jc w:val="both"/>
              <w:rPr>
                <w:rFonts w:ascii="Bookman Old Style" w:hAnsi="Bookman Old Style"/>
                <w:sz w:val="22"/>
                <w:szCs w:val="22"/>
              </w:rPr>
            </w:pPr>
            <w:r w:rsidRPr="001C272C">
              <w:rPr>
                <w:rFonts w:ascii="Bookman Old Style" w:hAnsi="Bookman Old Style"/>
                <w:sz w:val="22"/>
                <w:szCs w:val="22"/>
              </w:rPr>
              <w:t>non sono introdotti o mantenuti requisiti, standard, obblighi e oneri non strettamente necessari per l’attuazione delle norme;</w:t>
            </w:r>
          </w:p>
          <w:p w14:paraId="55F19548" w14:textId="41EF3019" w:rsidR="001C272C" w:rsidRPr="001C272C" w:rsidRDefault="001C272C" w:rsidP="004105F9">
            <w:pPr>
              <w:pStyle w:val="Paragrafoelenco"/>
              <w:numPr>
                <w:ilvl w:val="0"/>
                <w:numId w:val="14"/>
              </w:numPr>
              <w:ind w:left="608"/>
              <w:jc w:val="both"/>
              <w:rPr>
                <w:rFonts w:ascii="Bookman Old Style" w:hAnsi="Bookman Old Style"/>
                <w:sz w:val="22"/>
                <w:szCs w:val="22"/>
              </w:rPr>
            </w:pPr>
            <w:r w:rsidRPr="001C272C">
              <w:rPr>
                <w:rFonts w:ascii="Bookman Old Style" w:hAnsi="Bookman Old Style"/>
                <w:sz w:val="22"/>
                <w:szCs w:val="22"/>
              </w:rPr>
              <w:t>non viene esteso l’ambito soggettivo o oggettivo di applicazione delle regole ove comporti maggiori oneri amministrativi per i destinatari;</w:t>
            </w:r>
          </w:p>
          <w:p w14:paraId="661949F3" w14:textId="2182EDFB" w:rsidR="00152ECF" w:rsidRPr="001C272C" w:rsidRDefault="001C272C" w:rsidP="001C272C">
            <w:pPr>
              <w:pStyle w:val="Paragrafoelenco"/>
              <w:numPr>
                <w:ilvl w:val="0"/>
                <w:numId w:val="14"/>
              </w:numPr>
              <w:ind w:left="608"/>
              <w:jc w:val="both"/>
              <w:rPr>
                <w:rFonts w:ascii="Bookman Old Style" w:hAnsi="Bookman Old Style"/>
                <w:sz w:val="22"/>
                <w:szCs w:val="22"/>
              </w:rPr>
            </w:pPr>
            <w:r w:rsidRPr="001C272C">
              <w:rPr>
                <w:rFonts w:ascii="Bookman Old Style" w:hAnsi="Bookman Old Style"/>
                <w:sz w:val="22"/>
                <w:szCs w:val="22"/>
              </w:rPr>
              <w:t>non sono introdotte o mantenute sanzioni, procedure o meccanismi operativi più gravosi o complessi di quelli</w:t>
            </w:r>
            <w:r>
              <w:rPr>
                <w:rFonts w:ascii="Bookman Old Style" w:hAnsi="Bookman Old Style"/>
                <w:sz w:val="22"/>
                <w:szCs w:val="22"/>
              </w:rPr>
              <w:t xml:space="preserve"> </w:t>
            </w:r>
            <w:r w:rsidRPr="001C272C">
              <w:rPr>
                <w:rFonts w:ascii="Bookman Old Style" w:hAnsi="Bookman Old Style"/>
                <w:sz w:val="22"/>
                <w:szCs w:val="22"/>
              </w:rPr>
              <w:t>strettamente necessari per l’attuazione delle norme.</w:t>
            </w:r>
          </w:p>
        </w:tc>
      </w:tr>
    </w:tbl>
    <w:p w14:paraId="1C9C9E39" w14:textId="77777777" w:rsidR="000C24E3" w:rsidRPr="000C24E3" w:rsidRDefault="000C24E3" w:rsidP="000C24E3">
      <w:pPr>
        <w:jc w:val="both"/>
      </w:pPr>
    </w:p>
    <w:sectPr w:rsidR="000C24E3" w:rsidRPr="000C24E3" w:rsidSect="00452D01">
      <w:headerReference w:type="default" r:id="rId8"/>
      <w:footerReference w:type="default" r:id="rId9"/>
      <w:pgSz w:w="11906" w:h="16838"/>
      <w:pgMar w:top="1134" w:right="1134" w:bottom="1134" w:left="1134"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EF52DC" w14:textId="77777777" w:rsidR="002610E8" w:rsidRDefault="002610E8" w:rsidP="00800A33">
      <w:r>
        <w:separator/>
      </w:r>
    </w:p>
  </w:endnote>
  <w:endnote w:type="continuationSeparator" w:id="0">
    <w:p w14:paraId="5490BF21" w14:textId="77777777" w:rsidR="002610E8" w:rsidRDefault="002610E8" w:rsidP="00800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9352366"/>
      <w:docPartObj>
        <w:docPartGallery w:val="Page Numbers (Bottom of Page)"/>
        <w:docPartUnique/>
      </w:docPartObj>
    </w:sdtPr>
    <w:sdtContent>
      <w:p w14:paraId="4D83F2BB" w14:textId="77777777" w:rsidR="00A95F4B" w:rsidRDefault="00A95F4B">
        <w:pPr>
          <w:pStyle w:val="Pidipagina"/>
          <w:jc w:val="right"/>
        </w:pPr>
        <w:r>
          <w:fldChar w:fldCharType="begin"/>
        </w:r>
        <w:r>
          <w:instrText>PAGE   \* MERGEFORMAT</w:instrText>
        </w:r>
        <w:r>
          <w:fldChar w:fldCharType="separate"/>
        </w:r>
        <w:r w:rsidR="00917D32">
          <w:rPr>
            <w:noProof/>
          </w:rPr>
          <w:t>7</w:t>
        </w:r>
        <w:r>
          <w:fldChar w:fldCharType="end"/>
        </w:r>
      </w:p>
    </w:sdtContent>
  </w:sdt>
  <w:p w14:paraId="5A03C6B3" w14:textId="77777777" w:rsidR="00A95F4B" w:rsidRDefault="00A95F4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BCCA09" w14:textId="77777777" w:rsidR="002610E8" w:rsidRDefault="002610E8" w:rsidP="00800A33">
      <w:r>
        <w:separator/>
      </w:r>
    </w:p>
  </w:footnote>
  <w:footnote w:type="continuationSeparator" w:id="0">
    <w:p w14:paraId="625F44EA" w14:textId="77777777" w:rsidR="002610E8" w:rsidRDefault="002610E8" w:rsidP="00800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5DC5E" w14:textId="77777777" w:rsidR="00AF71BD" w:rsidRDefault="00AF71BD" w:rsidP="00AF71BD">
    <w:pPr>
      <w:jc w:val="center"/>
      <w:rPr>
        <w:bCs/>
        <w:color w:val="000000"/>
        <w:sz w:val="28"/>
        <w:szCs w:val="28"/>
      </w:rPr>
    </w:pPr>
  </w:p>
  <w:p w14:paraId="1FC3CB6E" w14:textId="77777777" w:rsidR="009E1366" w:rsidRPr="00346103" w:rsidRDefault="009E1366" w:rsidP="00AF71BD">
    <w:pPr>
      <w:jc w:val="center"/>
      <w:rPr>
        <w:rFonts w:ascii="Book Antiqua" w:hAnsi="Book Antiqua" w:cs="Angsana New"/>
        <w:b/>
        <w:bCs/>
        <w:i/>
        <w:color w:val="000000"/>
        <w:sz w:val="20"/>
        <w:szCs w:val="20"/>
        <w:lang w:bidi="th-TH"/>
      </w:rPr>
    </w:pPr>
  </w:p>
  <w:p w14:paraId="3560072A" w14:textId="77777777" w:rsidR="004C1820" w:rsidRDefault="004C1820" w:rsidP="00800A33">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B"/>
    <w:multiLevelType w:val="multilevel"/>
    <w:tmpl w:val="0000000B"/>
    <w:name w:val="WW8Num17"/>
    <w:lvl w:ilvl="0">
      <w:numFmt w:val="bullet"/>
      <w:lvlText w:val=""/>
      <w:lvlJc w:val="left"/>
      <w:pPr>
        <w:tabs>
          <w:tab w:val="num" w:pos="0"/>
        </w:tabs>
        <w:ind w:left="0" w:firstLine="0"/>
      </w:pPr>
      <w:rPr>
        <w:rFonts w:ascii="Symbol" w:hAnsi="Symbol" w:cs="Symbol"/>
        <w:color w:val="548DD4"/>
        <w:sz w:val="28"/>
        <w:szCs w:val="28"/>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Wingdings" w:hAnsi="Wingdings" w:cs="Wingdings"/>
      </w:rPr>
    </w:lvl>
    <w:lvl w:ilvl="4">
      <w:numFmt w:val="bullet"/>
      <w:lvlText w:val=""/>
      <w:lvlJc w:val="left"/>
      <w:pPr>
        <w:tabs>
          <w:tab w:val="num" w:pos="0"/>
        </w:tabs>
        <w:ind w:left="0" w:firstLine="0"/>
      </w:pPr>
      <w:rPr>
        <w:rFonts w:ascii="Wingdings" w:hAnsi="Wingdings" w:cs="Wingdings"/>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Wingdings" w:hAnsi="Wingdings" w:cs="Wingdings"/>
      </w:rPr>
    </w:lvl>
    <w:lvl w:ilvl="7">
      <w:numFmt w:val="bullet"/>
      <w:lvlText w:val=""/>
      <w:lvlJc w:val="left"/>
      <w:pPr>
        <w:tabs>
          <w:tab w:val="num" w:pos="0"/>
        </w:tabs>
        <w:ind w:left="0" w:firstLine="0"/>
      </w:pPr>
      <w:rPr>
        <w:rFonts w:ascii="Wingdings" w:hAnsi="Wingdings" w:cs="Wingdings"/>
      </w:rPr>
    </w:lvl>
    <w:lvl w:ilvl="8">
      <w:numFmt w:val="bullet"/>
      <w:lvlText w:val=""/>
      <w:lvlJc w:val="left"/>
      <w:pPr>
        <w:tabs>
          <w:tab w:val="num" w:pos="0"/>
        </w:tabs>
        <w:ind w:left="0" w:firstLine="0"/>
      </w:pPr>
      <w:rPr>
        <w:rFonts w:ascii="Wingdings" w:hAnsi="Wingdings" w:cs="Wingdings"/>
      </w:rPr>
    </w:lvl>
  </w:abstractNum>
  <w:abstractNum w:abstractNumId="1" w15:restartNumberingAfterBreak="0">
    <w:nsid w:val="00000012"/>
    <w:multiLevelType w:val="multilevel"/>
    <w:tmpl w:val="00000012"/>
    <w:lvl w:ilvl="0">
      <w:start w:val="1"/>
      <w:numFmt w:val="decimal"/>
      <w:lvlText w:val="%1."/>
      <w:lvlJc w:val="left"/>
      <w:pPr>
        <w:tabs>
          <w:tab w:val="num" w:pos="0"/>
        </w:tabs>
        <w:ind w:left="0" w:firstLine="0"/>
      </w:pPr>
      <w:rPr>
        <w:rFonts w:ascii="Symbol" w:hAnsi="Symbol" w:cs="Symbol"/>
        <w:sz w:val="20"/>
      </w:rPr>
    </w:lvl>
    <w:lvl w:ilvl="1">
      <w:start w:val="1"/>
      <w:numFmt w:val="decimal"/>
      <w:lvlText w:val="%2."/>
      <w:lvlJc w:val="left"/>
      <w:pPr>
        <w:tabs>
          <w:tab w:val="num" w:pos="0"/>
        </w:tabs>
        <w:ind w:left="0" w:firstLine="0"/>
      </w:pPr>
      <w:rPr>
        <w:rFonts w:ascii="Courier New" w:hAnsi="Courier New" w:cs="Courier New"/>
        <w:sz w:val="20"/>
      </w:rPr>
    </w:lvl>
    <w:lvl w:ilvl="2">
      <w:start w:val="1"/>
      <w:numFmt w:val="decimal"/>
      <w:lvlText w:val="%3."/>
      <w:lvlJc w:val="left"/>
      <w:pPr>
        <w:tabs>
          <w:tab w:val="num" w:pos="0"/>
        </w:tabs>
        <w:ind w:left="0" w:firstLine="0"/>
      </w:pPr>
      <w:rPr>
        <w:rFonts w:ascii="Wingdings" w:hAnsi="Wingdings" w:cs="Wingdings"/>
        <w:sz w:val="20"/>
      </w:r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 w15:restartNumberingAfterBreak="0">
    <w:nsid w:val="00630DFD"/>
    <w:multiLevelType w:val="hybridMultilevel"/>
    <w:tmpl w:val="8B34DB08"/>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A96358C"/>
    <w:multiLevelType w:val="hybridMultilevel"/>
    <w:tmpl w:val="FEE8CF98"/>
    <w:lvl w:ilvl="0" w:tplc="04100005">
      <w:start w:val="1"/>
      <w:numFmt w:val="bullet"/>
      <w:lvlText w:val=""/>
      <w:lvlJc w:val="left"/>
      <w:pPr>
        <w:ind w:left="780" w:hanging="360"/>
      </w:pPr>
      <w:rPr>
        <w:rFonts w:ascii="Wingdings" w:hAnsi="Wingdings"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4" w15:restartNumberingAfterBreak="0">
    <w:nsid w:val="2B7D111B"/>
    <w:multiLevelType w:val="hybridMultilevel"/>
    <w:tmpl w:val="B412B63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4252724"/>
    <w:multiLevelType w:val="hybridMultilevel"/>
    <w:tmpl w:val="71B0E01C"/>
    <w:lvl w:ilvl="0" w:tplc="04100001">
      <w:start w:val="1"/>
      <w:numFmt w:val="bullet"/>
      <w:lvlText w:val=""/>
      <w:lvlJc w:val="left"/>
      <w:pPr>
        <w:ind w:left="1047" w:hanging="360"/>
      </w:pPr>
      <w:rPr>
        <w:rFonts w:ascii="Symbol" w:hAnsi="Symbol" w:hint="default"/>
      </w:rPr>
    </w:lvl>
    <w:lvl w:ilvl="1" w:tplc="04100003" w:tentative="1">
      <w:start w:val="1"/>
      <w:numFmt w:val="bullet"/>
      <w:lvlText w:val="o"/>
      <w:lvlJc w:val="left"/>
      <w:pPr>
        <w:ind w:left="1767" w:hanging="360"/>
      </w:pPr>
      <w:rPr>
        <w:rFonts w:ascii="Courier New" w:hAnsi="Courier New" w:cs="Courier New" w:hint="default"/>
      </w:rPr>
    </w:lvl>
    <w:lvl w:ilvl="2" w:tplc="04100005" w:tentative="1">
      <w:start w:val="1"/>
      <w:numFmt w:val="bullet"/>
      <w:lvlText w:val=""/>
      <w:lvlJc w:val="left"/>
      <w:pPr>
        <w:ind w:left="2487" w:hanging="360"/>
      </w:pPr>
      <w:rPr>
        <w:rFonts w:ascii="Wingdings" w:hAnsi="Wingdings" w:hint="default"/>
      </w:rPr>
    </w:lvl>
    <w:lvl w:ilvl="3" w:tplc="04100001" w:tentative="1">
      <w:start w:val="1"/>
      <w:numFmt w:val="bullet"/>
      <w:lvlText w:val=""/>
      <w:lvlJc w:val="left"/>
      <w:pPr>
        <w:ind w:left="3207" w:hanging="360"/>
      </w:pPr>
      <w:rPr>
        <w:rFonts w:ascii="Symbol" w:hAnsi="Symbol" w:hint="default"/>
      </w:rPr>
    </w:lvl>
    <w:lvl w:ilvl="4" w:tplc="04100003" w:tentative="1">
      <w:start w:val="1"/>
      <w:numFmt w:val="bullet"/>
      <w:lvlText w:val="o"/>
      <w:lvlJc w:val="left"/>
      <w:pPr>
        <w:ind w:left="3927" w:hanging="360"/>
      </w:pPr>
      <w:rPr>
        <w:rFonts w:ascii="Courier New" w:hAnsi="Courier New" w:cs="Courier New" w:hint="default"/>
      </w:rPr>
    </w:lvl>
    <w:lvl w:ilvl="5" w:tplc="04100005" w:tentative="1">
      <w:start w:val="1"/>
      <w:numFmt w:val="bullet"/>
      <w:lvlText w:val=""/>
      <w:lvlJc w:val="left"/>
      <w:pPr>
        <w:ind w:left="4647" w:hanging="360"/>
      </w:pPr>
      <w:rPr>
        <w:rFonts w:ascii="Wingdings" w:hAnsi="Wingdings" w:hint="default"/>
      </w:rPr>
    </w:lvl>
    <w:lvl w:ilvl="6" w:tplc="04100001" w:tentative="1">
      <w:start w:val="1"/>
      <w:numFmt w:val="bullet"/>
      <w:lvlText w:val=""/>
      <w:lvlJc w:val="left"/>
      <w:pPr>
        <w:ind w:left="5367" w:hanging="360"/>
      </w:pPr>
      <w:rPr>
        <w:rFonts w:ascii="Symbol" w:hAnsi="Symbol" w:hint="default"/>
      </w:rPr>
    </w:lvl>
    <w:lvl w:ilvl="7" w:tplc="04100003" w:tentative="1">
      <w:start w:val="1"/>
      <w:numFmt w:val="bullet"/>
      <w:lvlText w:val="o"/>
      <w:lvlJc w:val="left"/>
      <w:pPr>
        <w:ind w:left="6087" w:hanging="360"/>
      </w:pPr>
      <w:rPr>
        <w:rFonts w:ascii="Courier New" w:hAnsi="Courier New" w:cs="Courier New" w:hint="default"/>
      </w:rPr>
    </w:lvl>
    <w:lvl w:ilvl="8" w:tplc="04100005" w:tentative="1">
      <w:start w:val="1"/>
      <w:numFmt w:val="bullet"/>
      <w:lvlText w:val=""/>
      <w:lvlJc w:val="left"/>
      <w:pPr>
        <w:ind w:left="6807" w:hanging="360"/>
      </w:pPr>
      <w:rPr>
        <w:rFonts w:ascii="Wingdings" w:hAnsi="Wingdings" w:hint="default"/>
      </w:rPr>
    </w:lvl>
  </w:abstractNum>
  <w:abstractNum w:abstractNumId="6" w15:restartNumberingAfterBreak="0">
    <w:nsid w:val="41D53B3C"/>
    <w:multiLevelType w:val="hybridMultilevel"/>
    <w:tmpl w:val="BC10419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3583BC9"/>
    <w:multiLevelType w:val="hybridMultilevel"/>
    <w:tmpl w:val="B65EB124"/>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F2C5CF4"/>
    <w:multiLevelType w:val="hybridMultilevel"/>
    <w:tmpl w:val="95903FA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3BC5E0F"/>
    <w:multiLevelType w:val="hybridMultilevel"/>
    <w:tmpl w:val="DEEE0BB2"/>
    <w:lvl w:ilvl="0" w:tplc="299A5150">
      <w:numFmt w:val="bullet"/>
      <w:lvlText w:val="-"/>
      <w:lvlJc w:val="left"/>
      <w:pPr>
        <w:ind w:left="720" w:hanging="360"/>
      </w:pPr>
      <w:rPr>
        <w:rFonts w:ascii="Bookman Old Style" w:eastAsiaTheme="minorHAnsi" w:hAnsi="Bookman Old Style"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6AA5F5E"/>
    <w:multiLevelType w:val="hybridMultilevel"/>
    <w:tmpl w:val="5D96C34A"/>
    <w:lvl w:ilvl="0" w:tplc="04100017">
      <w:start w:val="1"/>
      <w:numFmt w:val="lowerLetter"/>
      <w:lvlText w:val="%1)"/>
      <w:lvlJc w:val="left"/>
      <w:pPr>
        <w:ind w:left="720" w:hanging="360"/>
      </w:pPr>
      <w:rPr>
        <w:rFonts w:hint="default"/>
      </w:rPr>
    </w:lvl>
    <w:lvl w:ilvl="1" w:tplc="6C021942">
      <w:numFmt w:val="bullet"/>
      <w:lvlText w:val="•"/>
      <w:lvlJc w:val="left"/>
      <w:pPr>
        <w:ind w:left="1440" w:hanging="360"/>
      </w:pPr>
      <w:rPr>
        <w:rFonts w:ascii="Times New Roman" w:eastAsiaTheme="minorHAnsi"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709C57D1"/>
    <w:multiLevelType w:val="hybridMultilevel"/>
    <w:tmpl w:val="1E2038B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24C2AB7"/>
    <w:multiLevelType w:val="hybridMultilevel"/>
    <w:tmpl w:val="F0360278"/>
    <w:lvl w:ilvl="0" w:tplc="04100005">
      <w:start w:val="1"/>
      <w:numFmt w:val="bullet"/>
      <w:lvlText w:val=""/>
      <w:lvlJc w:val="left"/>
      <w:pPr>
        <w:ind w:left="720" w:hanging="360"/>
      </w:pPr>
      <w:rPr>
        <w:rFonts w:ascii="Wingdings" w:hAnsi="Wingdings" w:hint="default"/>
      </w:rPr>
    </w:lvl>
    <w:lvl w:ilvl="1" w:tplc="0B144AFA">
      <w:numFmt w:val="bullet"/>
      <w:lvlText w:val="•"/>
      <w:lvlJc w:val="left"/>
      <w:pPr>
        <w:ind w:left="1440" w:hanging="360"/>
      </w:pPr>
      <w:rPr>
        <w:rFonts w:ascii="Times New Roman" w:eastAsiaTheme="minorHAnsi" w:hAnsi="Times New Roman"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C0D4345"/>
    <w:multiLevelType w:val="hybridMultilevel"/>
    <w:tmpl w:val="1A1CE87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437023284">
    <w:abstractNumId w:val="10"/>
  </w:num>
  <w:num w:numId="2" w16cid:durableId="350883072">
    <w:abstractNumId w:val="2"/>
  </w:num>
  <w:num w:numId="3" w16cid:durableId="388264467">
    <w:abstractNumId w:val="7"/>
  </w:num>
  <w:num w:numId="4" w16cid:durableId="155343599">
    <w:abstractNumId w:val="8"/>
  </w:num>
  <w:num w:numId="5" w16cid:durableId="1502575191">
    <w:abstractNumId w:val="3"/>
  </w:num>
  <w:num w:numId="6" w16cid:durableId="12534375">
    <w:abstractNumId w:val="12"/>
  </w:num>
  <w:num w:numId="7" w16cid:durableId="1408727060">
    <w:abstractNumId w:val="6"/>
  </w:num>
  <w:num w:numId="8" w16cid:durableId="451633167">
    <w:abstractNumId w:val="4"/>
  </w:num>
  <w:num w:numId="9" w16cid:durableId="662008409">
    <w:abstractNumId w:val="11"/>
  </w:num>
  <w:num w:numId="10" w16cid:durableId="2011791101">
    <w:abstractNumId w:val="9"/>
  </w:num>
  <w:num w:numId="11" w16cid:durableId="1010987567">
    <w:abstractNumId w:val="0"/>
  </w:num>
  <w:num w:numId="12" w16cid:durableId="954294580">
    <w:abstractNumId w:val="1"/>
  </w:num>
  <w:num w:numId="13" w16cid:durableId="596328965">
    <w:abstractNumId w:val="13"/>
  </w:num>
  <w:num w:numId="14" w16cid:durableId="19190537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C63"/>
    <w:rsid w:val="000151E7"/>
    <w:rsid w:val="000207C8"/>
    <w:rsid w:val="00026ABC"/>
    <w:rsid w:val="00045066"/>
    <w:rsid w:val="00061DE3"/>
    <w:rsid w:val="00066502"/>
    <w:rsid w:val="00072D44"/>
    <w:rsid w:val="00077D65"/>
    <w:rsid w:val="00085175"/>
    <w:rsid w:val="000868A8"/>
    <w:rsid w:val="0009520E"/>
    <w:rsid w:val="000A4119"/>
    <w:rsid w:val="000A654C"/>
    <w:rsid w:val="000C24E3"/>
    <w:rsid w:val="000F26BA"/>
    <w:rsid w:val="00107BE2"/>
    <w:rsid w:val="00117071"/>
    <w:rsid w:val="001336D9"/>
    <w:rsid w:val="00152ECF"/>
    <w:rsid w:val="00177038"/>
    <w:rsid w:val="001A12E8"/>
    <w:rsid w:val="001C272C"/>
    <w:rsid w:val="001C283B"/>
    <w:rsid w:val="001C2E63"/>
    <w:rsid w:val="001C44C1"/>
    <w:rsid w:val="001D498A"/>
    <w:rsid w:val="001D67B5"/>
    <w:rsid w:val="001E1098"/>
    <w:rsid w:val="0023159D"/>
    <w:rsid w:val="002340E6"/>
    <w:rsid w:val="002422BB"/>
    <w:rsid w:val="002568BB"/>
    <w:rsid w:val="00260E40"/>
    <w:rsid w:val="002610E8"/>
    <w:rsid w:val="00262575"/>
    <w:rsid w:val="00263BE5"/>
    <w:rsid w:val="002662DF"/>
    <w:rsid w:val="00276D23"/>
    <w:rsid w:val="0027721D"/>
    <w:rsid w:val="002A5792"/>
    <w:rsid w:val="002B5215"/>
    <w:rsid w:val="002C08E6"/>
    <w:rsid w:val="002D29AE"/>
    <w:rsid w:val="002D5D24"/>
    <w:rsid w:val="002E2781"/>
    <w:rsid w:val="002F6FA7"/>
    <w:rsid w:val="0030662D"/>
    <w:rsid w:val="00310227"/>
    <w:rsid w:val="00311BA8"/>
    <w:rsid w:val="003162E0"/>
    <w:rsid w:val="00324148"/>
    <w:rsid w:val="0035444B"/>
    <w:rsid w:val="003713DE"/>
    <w:rsid w:val="00377DF5"/>
    <w:rsid w:val="00386875"/>
    <w:rsid w:val="0039095C"/>
    <w:rsid w:val="003A3C7C"/>
    <w:rsid w:val="003A562F"/>
    <w:rsid w:val="003A7FA5"/>
    <w:rsid w:val="003B3975"/>
    <w:rsid w:val="003B6B81"/>
    <w:rsid w:val="003C1195"/>
    <w:rsid w:val="003C5395"/>
    <w:rsid w:val="003D3DBF"/>
    <w:rsid w:val="003F258C"/>
    <w:rsid w:val="003F635A"/>
    <w:rsid w:val="00411909"/>
    <w:rsid w:val="004156D6"/>
    <w:rsid w:val="00417C4B"/>
    <w:rsid w:val="004406DA"/>
    <w:rsid w:val="00452D01"/>
    <w:rsid w:val="00455005"/>
    <w:rsid w:val="00462651"/>
    <w:rsid w:val="004C1326"/>
    <w:rsid w:val="004C1820"/>
    <w:rsid w:val="004C23BB"/>
    <w:rsid w:val="004C62E1"/>
    <w:rsid w:val="004E30BD"/>
    <w:rsid w:val="004F62E1"/>
    <w:rsid w:val="004F7191"/>
    <w:rsid w:val="005662F9"/>
    <w:rsid w:val="0057310B"/>
    <w:rsid w:val="0058520C"/>
    <w:rsid w:val="0058749B"/>
    <w:rsid w:val="00595126"/>
    <w:rsid w:val="005C6543"/>
    <w:rsid w:val="005E5A5A"/>
    <w:rsid w:val="005F4D51"/>
    <w:rsid w:val="005F57A9"/>
    <w:rsid w:val="00601F7D"/>
    <w:rsid w:val="00611EA8"/>
    <w:rsid w:val="00617AAD"/>
    <w:rsid w:val="00633D48"/>
    <w:rsid w:val="00637985"/>
    <w:rsid w:val="006558F4"/>
    <w:rsid w:val="00661219"/>
    <w:rsid w:val="00664508"/>
    <w:rsid w:val="0069472C"/>
    <w:rsid w:val="006A304B"/>
    <w:rsid w:val="006B2895"/>
    <w:rsid w:val="006B38D1"/>
    <w:rsid w:val="006C74CA"/>
    <w:rsid w:val="006D0E66"/>
    <w:rsid w:val="006E42AD"/>
    <w:rsid w:val="006E5E9A"/>
    <w:rsid w:val="006F650D"/>
    <w:rsid w:val="007161F6"/>
    <w:rsid w:val="00717ECD"/>
    <w:rsid w:val="0073051A"/>
    <w:rsid w:val="00745F1B"/>
    <w:rsid w:val="00752FBF"/>
    <w:rsid w:val="007662F7"/>
    <w:rsid w:val="00782980"/>
    <w:rsid w:val="00783F64"/>
    <w:rsid w:val="00790CC4"/>
    <w:rsid w:val="00793814"/>
    <w:rsid w:val="007A2831"/>
    <w:rsid w:val="007C2826"/>
    <w:rsid w:val="007C7D48"/>
    <w:rsid w:val="00800A33"/>
    <w:rsid w:val="008303AC"/>
    <w:rsid w:val="00830C8A"/>
    <w:rsid w:val="0083685B"/>
    <w:rsid w:val="00847260"/>
    <w:rsid w:val="00870CC5"/>
    <w:rsid w:val="008875F8"/>
    <w:rsid w:val="008959B0"/>
    <w:rsid w:val="0089605A"/>
    <w:rsid w:val="008B0E31"/>
    <w:rsid w:val="008C109A"/>
    <w:rsid w:val="008C449A"/>
    <w:rsid w:val="008C7837"/>
    <w:rsid w:val="008D77A6"/>
    <w:rsid w:val="008D7B92"/>
    <w:rsid w:val="008E71AE"/>
    <w:rsid w:val="00903C73"/>
    <w:rsid w:val="00917584"/>
    <w:rsid w:val="00917D32"/>
    <w:rsid w:val="00927A47"/>
    <w:rsid w:val="009431A7"/>
    <w:rsid w:val="00962144"/>
    <w:rsid w:val="009718AB"/>
    <w:rsid w:val="00975EB4"/>
    <w:rsid w:val="00997209"/>
    <w:rsid w:val="009B67B1"/>
    <w:rsid w:val="009D45EF"/>
    <w:rsid w:val="009E1366"/>
    <w:rsid w:val="009F095F"/>
    <w:rsid w:val="009F1CBD"/>
    <w:rsid w:val="009F7C5B"/>
    <w:rsid w:val="00A03432"/>
    <w:rsid w:val="00A04986"/>
    <w:rsid w:val="00A14E30"/>
    <w:rsid w:val="00A1500B"/>
    <w:rsid w:val="00A171E3"/>
    <w:rsid w:val="00A17613"/>
    <w:rsid w:val="00A31CFC"/>
    <w:rsid w:val="00A5591D"/>
    <w:rsid w:val="00A7028B"/>
    <w:rsid w:val="00A76908"/>
    <w:rsid w:val="00A95F4B"/>
    <w:rsid w:val="00A97682"/>
    <w:rsid w:val="00AA35A8"/>
    <w:rsid w:val="00AA7B3F"/>
    <w:rsid w:val="00AB0293"/>
    <w:rsid w:val="00AB0BC7"/>
    <w:rsid w:val="00AB69F3"/>
    <w:rsid w:val="00AC0295"/>
    <w:rsid w:val="00AC5E85"/>
    <w:rsid w:val="00AE0BCB"/>
    <w:rsid w:val="00AE3634"/>
    <w:rsid w:val="00AE7796"/>
    <w:rsid w:val="00AF71BD"/>
    <w:rsid w:val="00AF7575"/>
    <w:rsid w:val="00B0689A"/>
    <w:rsid w:val="00B155E0"/>
    <w:rsid w:val="00B26E16"/>
    <w:rsid w:val="00B60764"/>
    <w:rsid w:val="00B60912"/>
    <w:rsid w:val="00B7244B"/>
    <w:rsid w:val="00B74A65"/>
    <w:rsid w:val="00BA00FE"/>
    <w:rsid w:val="00BA6CBE"/>
    <w:rsid w:val="00BA7234"/>
    <w:rsid w:val="00BC66C3"/>
    <w:rsid w:val="00BD0792"/>
    <w:rsid w:val="00BD630F"/>
    <w:rsid w:val="00BE3A88"/>
    <w:rsid w:val="00BF06D4"/>
    <w:rsid w:val="00C05C77"/>
    <w:rsid w:val="00C14394"/>
    <w:rsid w:val="00C3524F"/>
    <w:rsid w:val="00C6301E"/>
    <w:rsid w:val="00C6474C"/>
    <w:rsid w:val="00C71000"/>
    <w:rsid w:val="00C81528"/>
    <w:rsid w:val="00C82F1B"/>
    <w:rsid w:val="00CA13B0"/>
    <w:rsid w:val="00CA5A83"/>
    <w:rsid w:val="00CB0C1E"/>
    <w:rsid w:val="00CD57AE"/>
    <w:rsid w:val="00CF73D2"/>
    <w:rsid w:val="00D33113"/>
    <w:rsid w:val="00D66D1F"/>
    <w:rsid w:val="00D75E66"/>
    <w:rsid w:val="00DA61CB"/>
    <w:rsid w:val="00DA7638"/>
    <w:rsid w:val="00DC0087"/>
    <w:rsid w:val="00DD025B"/>
    <w:rsid w:val="00DD1A10"/>
    <w:rsid w:val="00DF2618"/>
    <w:rsid w:val="00E02492"/>
    <w:rsid w:val="00E10E88"/>
    <w:rsid w:val="00E57996"/>
    <w:rsid w:val="00E778C3"/>
    <w:rsid w:val="00E86841"/>
    <w:rsid w:val="00E94C63"/>
    <w:rsid w:val="00E971D6"/>
    <w:rsid w:val="00EA0E3D"/>
    <w:rsid w:val="00EA3578"/>
    <w:rsid w:val="00EA3AF5"/>
    <w:rsid w:val="00EB0EC3"/>
    <w:rsid w:val="00F12DA4"/>
    <w:rsid w:val="00F17790"/>
    <w:rsid w:val="00F36AD1"/>
    <w:rsid w:val="00F44BB4"/>
    <w:rsid w:val="00F51CFE"/>
    <w:rsid w:val="00F54F21"/>
    <w:rsid w:val="00F71761"/>
    <w:rsid w:val="00F75FBF"/>
    <w:rsid w:val="00F76848"/>
    <w:rsid w:val="00FB111B"/>
    <w:rsid w:val="00FB54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83538"/>
  <w15:docId w15:val="{C5914348-AB72-41B0-A366-67009FC51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94C63"/>
    <w:pPr>
      <w:spacing w:after="0" w:line="240" w:lineRule="auto"/>
    </w:pPr>
    <w:rPr>
      <w:rFonts w:ascii="Times New Roman" w:hAnsi="Times New Roman" w:cs="Times New Roman"/>
      <w:sz w:val="24"/>
      <w:szCs w:val="24"/>
      <w:lang w:eastAsia="it-IT"/>
    </w:rPr>
  </w:style>
  <w:style w:type="paragraph" w:styleId="Titolo1">
    <w:name w:val="heading 1"/>
    <w:basedOn w:val="Normale"/>
    <w:link w:val="Titolo1Carattere"/>
    <w:uiPriority w:val="9"/>
    <w:qFormat/>
    <w:rsid w:val="00E94C63"/>
    <w:pPr>
      <w:keepNext/>
      <w:jc w:val="center"/>
      <w:outlineLvl w:val="0"/>
    </w:pPr>
    <w:rPr>
      <w:i/>
      <w:iCs/>
      <w:kern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94C63"/>
    <w:rPr>
      <w:rFonts w:ascii="Times New Roman" w:hAnsi="Times New Roman" w:cs="Times New Roman"/>
      <w:i/>
      <w:iCs/>
      <w:kern w:val="36"/>
      <w:sz w:val="24"/>
      <w:szCs w:val="24"/>
      <w:lang w:eastAsia="it-IT"/>
    </w:rPr>
  </w:style>
  <w:style w:type="paragraph" w:styleId="NormaleWeb">
    <w:name w:val="Normal (Web)"/>
    <w:basedOn w:val="Normale"/>
    <w:unhideWhenUsed/>
    <w:rsid w:val="00E94C63"/>
    <w:pPr>
      <w:spacing w:before="100" w:beforeAutospacing="1" w:after="100" w:afterAutospacing="1"/>
    </w:pPr>
  </w:style>
  <w:style w:type="character" w:customStyle="1" w:styleId="apple-converted-space">
    <w:name w:val="apple-converted-space"/>
    <w:basedOn w:val="Carpredefinitoparagrafo"/>
    <w:rsid w:val="00E94C63"/>
  </w:style>
  <w:style w:type="character" w:styleId="Enfasigrassetto">
    <w:name w:val="Strong"/>
    <w:basedOn w:val="Carpredefinitoparagrafo"/>
    <w:uiPriority w:val="22"/>
    <w:qFormat/>
    <w:rsid w:val="00E94C63"/>
    <w:rPr>
      <w:b/>
      <w:bCs/>
    </w:rPr>
  </w:style>
  <w:style w:type="paragraph" w:styleId="Testofumetto">
    <w:name w:val="Balloon Text"/>
    <w:basedOn w:val="Normale"/>
    <w:link w:val="TestofumettoCarattere"/>
    <w:uiPriority w:val="99"/>
    <w:semiHidden/>
    <w:unhideWhenUsed/>
    <w:rsid w:val="00BD079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D0792"/>
    <w:rPr>
      <w:rFonts w:ascii="Segoe UI" w:hAnsi="Segoe UI" w:cs="Segoe UI"/>
      <w:sz w:val="18"/>
      <w:szCs w:val="18"/>
      <w:lang w:eastAsia="it-IT"/>
    </w:rPr>
  </w:style>
  <w:style w:type="paragraph" w:styleId="Intestazione">
    <w:name w:val="header"/>
    <w:basedOn w:val="Normale"/>
    <w:link w:val="IntestazioneCarattere"/>
    <w:uiPriority w:val="99"/>
    <w:unhideWhenUsed/>
    <w:rsid w:val="00800A33"/>
    <w:pPr>
      <w:tabs>
        <w:tab w:val="center" w:pos="4819"/>
        <w:tab w:val="right" w:pos="9638"/>
      </w:tabs>
    </w:pPr>
  </w:style>
  <w:style w:type="character" w:customStyle="1" w:styleId="IntestazioneCarattere">
    <w:name w:val="Intestazione Carattere"/>
    <w:basedOn w:val="Carpredefinitoparagrafo"/>
    <w:link w:val="Intestazione"/>
    <w:uiPriority w:val="99"/>
    <w:rsid w:val="00800A33"/>
    <w:rPr>
      <w:rFonts w:ascii="Times New Roman" w:hAnsi="Times New Roman" w:cs="Times New Roman"/>
      <w:sz w:val="24"/>
      <w:szCs w:val="24"/>
      <w:lang w:eastAsia="it-IT"/>
    </w:rPr>
  </w:style>
  <w:style w:type="paragraph" w:styleId="Pidipagina">
    <w:name w:val="footer"/>
    <w:basedOn w:val="Normale"/>
    <w:link w:val="PidipaginaCarattere"/>
    <w:uiPriority w:val="99"/>
    <w:unhideWhenUsed/>
    <w:rsid w:val="00800A33"/>
    <w:pPr>
      <w:tabs>
        <w:tab w:val="center" w:pos="4819"/>
        <w:tab w:val="right" w:pos="9638"/>
      </w:tabs>
    </w:pPr>
  </w:style>
  <w:style w:type="character" w:customStyle="1" w:styleId="PidipaginaCarattere">
    <w:name w:val="Piè di pagina Carattere"/>
    <w:basedOn w:val="Carpredefinitoparagrafo"/>
    <w:link w:val="Pidipagina"/>
    <w:uiPriority w:val="99"/>
    <w:rsid w:val="00800A33"/>
    <w:rPr>
      <w:rFonts w:ascii="Times New Roman" w:hAnsi="Times New Roman" w:cs="Times New Roman"/>
      <w:sz w:val="24"/>
      <w:szCs w:val="24"/>
      <w:lang w:eastAsia="it-IT"/>
    </w:rPr>
  </w:style>
  <w:style w:type="table" w:styleId="Grigliatabella">
    <w:name w:val="Table Grid"/>
    <w:basedOn w:val="Tabellanormale"/>
    <w:uiPriority w:val="39"/>
    <w:rsid w:val="000C24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3B6B81"/>
    <w:pPr>
      <w:ind w:left="720"/>
      <w:contextualSpacing/>
    </w:pPr>
  </w:style>
  <w:style w:type="paragraph" w:customStyle="1" w:styleId="1">
    <w:name w:val="1"/>
    <w:basedOn w:val="Normale"/>
    <w:next w:val="Corpotesto"/>
    <w:link w:val="CorpodeltestoCarattere"/>
    <w:rsid w:val="00411909"/>
    <w:pPr>
      <w:jc w:val="both"/>
    </w:pPr>
    <w:rPr>
      <w:rFonts w:asciiTheme="minorHAnsi" w:hAnsiTheme="minorHAnsi" w:cstheme="minorBidi"/>
      <w:snapToGrid w:val="0"/>
      <w:szCs w:val="22"/>
      <w:lang w:eastAsia="en-US"/>
    </w:rPr>
  </w:style>
  <w:style w:type="character" w:customStyle="1" w:styleId="CorpodeltestoCarattere">
    <w:name w:val="Corpo del testo Carattere"/>
    <w:link w:val="1"/>
    <w:rsid w:val="00411909"/>
    <w:rPr>
      <w:snapToGrid w:val="0"/>
      <w:sz w:val="24"/>
    </w:rPr>
  </w:style>
  <w:style w:type="paragraph" w:styleId="Corpotesto">
    <w:name w:val="Body Text"/>
    <w:basedOn w:val="Normale"/>
    <w:link w:val="CorpotestoCarattere"/>
    <w:uiPriority w:val="99"/>
    <w:semiHidden/>
    <w:unhideWhenUsed/>
    <w:rsid w:val="00411909"/>
    <w:pPr>
      <w:spacing w:after="120"/>
    </w:pPr>
  </w:style>
  <w:style w:type="character" w:customStyle="1" w:styleId="CorpotestoCarattere">
    <w:name w:val="Corpo testo Carattere"/>
    <w:basedOn w:val="Carpredefinitoparagrafo"/>
    <w:link w:val="Corpotesto"/>
    <w:uiPriority w:val="99"/>
    <w:semiHidden/>
    <w:rsid w:val="00411909"/>
    <w:rPr>
      <w:rFonts w:ascii="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9844747">
      <w:bodyDiv w:val="1"/>
      <w:marLeft w:val="0"/>
      <w:marRight w:val="0"/>
      <w:marTop w:val="0"/>
      <w:marBottom w:val="0"/>
      <w:divBdr>
        <w:top w:val="none" w:sz="0" w:space="0" w:color="auto"/>
        <w:left w:val="none" w:sz="0" w:space="0" w:color="auto"/>
        <w:bottom w:val="none" w:sz="0" w:space="0" w:color="auto"/>
        <w:right w:val="none" w:sz="0" w:space="0" w:color="auto"/>
      </w:divBdr>
    </w:div>
    <w:div w:id="1380128093">
      <w:bodyDiv w:val="1"/>
      <w:marLeft w:val="0"/>
      <w:marRight w:val="0"/>
      <w:marTop w:val="0"/>
      <w:marBottom w:val="0"/>
      <w:divBdr>
        <w:top w:val="none" w:sz="0" w:space="0" w:color="auto"/>
        <w:left w:val="none" w:sz="0" w:space="0" w:color="auto"/>
        <w:bottom w:val="none" w:sz="0" w:space="0" w:color="auto"/>
        <w:right w:val="none" w:sz="0" w:space="0" w:color="auto"/>
      </w:divBdr>
    </w:div>
    <w:div w:id="1825665000">
      <w:bodyDiv w:val="1"/>
      <w:marLeft w:val="0"/>
      <w:marRight w:val="0"/>
      <w:marTop w:val="0"/>
      <w:marBottom w:val="0"/>
      <w:divBdr>
        <w:top w:val="none" w:sz="0" w:space="0" w:color="auto"/>
        <w:left w:val="none" w:sz="0" w:space="0" w:color="auto"/>
        <w:bottom w:val="none" w:sz="0" w:space="0" w:color="auto"/>
        <w:right w:val="none" w:sz="0" w:space="0" w:color="auto"/>
      </w:divBdr>
    </w:div>
    <w:div w:id="207064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C20BA-0529-4764-B12F-E081FAA6E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Pages>
  <Words>764</Words>
  <Characters>4359</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Mocerino Carmine Staff</dc:creator>
  <cp:keywords/>
  <dc:description/>
  <cp:lastModifiedBy>Pacelli Chiara</cp:lastModifiedBy>
  <cp:revision>4</cp:revision>
  <cp:lastPrinted>2019-04-11T11:56:00Z</cp:lastPrinted>
  <dcterms:created xsi:type="dcterms:W3CDTF">2019-04-15T07:37:00Z</dcterms:created>
  <dcterms:modified xsi:type="dcterms:W3CDTF">2024-08-07T14:30:00Z</dcterms:modified>
</cp:coreProperties>
</file>