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72813" w14:textId="77777777" w:rsidR="009F274F" w:rsidRPr="00A34D10" w:rsidRDefault="009F274F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</w:p>
    <w:p w14:paraId="4E012770" w14:textId="5B2276C9" w:rsidR="008C1E6D" w:rsidRPr="00A34D10" w:rsidRDefault="008C1E6D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  <w:r w:rsidRPr="00A34D10">
        <w:rPr>
          <w:rFonts w:asciiTheme="majorHAnsi" w:hAnsiTheme="majorHAnsi"/>
          <w:b/>
          <w:bCs/>
          <w:lang w:val="it-IT"/>
        </w:rPr>
        <w:t>SCHEDA AIR</w:t>
      </w:r>
    </w:p>
    <w:p w14:paraId="0E7250E6" w14:textId="77777777" w:rsidR="008C1E6D" w:rsidRPr="00A34D10" w:rsidRDefault="008C1E6D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  <w:r w:rsidRPr="00A34D10">
        <w:rPr>
          <w:rFonts w:asciiTheme="majorHAnsi" w:hAnsiTheme="majorHAnsi"/>
          <w:b/>
          <w:bCs/>
          <w:lang w:val="it-IT"/>
        </w:rPr>
        <w:t>ANALISI DI IMPATTO DELLA REGOLAMENTAZIONE</w:t>
      </w:r>
    </w:p>
    <w:p w14:paraId="21D8F766" w14:textId="77777777" w:rsidR="00D2756A" w:rsidRPr="00A34D10" w:rsidRDefault="00D2756A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</w:p>
    <w:p w14:paraId="530572EC" w14:textId="22408FCA" w:rsidR="008C1E6D" w:rsidRPr="00A34D10" w:rsidRDefault="008C1E6D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  <w:r w:rsidRPr="00A34D10">
        <w:rPr>
          <w:rFonts w:asciiTheme="majorHAnsi" w:hAnsiTheme="majorHAnsi"/>
          <w:b/>
          <w:bCs/>
          <w:lang w:val="it-IT"/>
        </w:rPr>
        <w:t>PROPOSTA DI LEGGE</w:t>
      </w:r>
    </w:p>
    <w:p w14:paraId="4DFB8487" w14:textId="24387EDF" w:rsidR="008C1E6D" w:rsidRPr="00A34D10" w:rsidRDefault="008C1E6D" w:rsidP="008C1E6D">
      <w:pPr>
        <w:widowControl w:val="0"/>
        <w:autoSpaceDE w:val="0"/>
        <w:autoSpaceDN w:val="0"/>
        <w:spacing w:after="120" w:line="240" w:lineRule="auto"/>
        <w:rPr>
          <w:rFonts w:asciiTheme="majorHAnsi" w:hAnsiTheme="majorHAnsi"/>
          <w:color w:val="000000"/>
          <w:lang w:val="it-IT"/>
        </w:rPr>
      </w:pPr>
      <w:r w:rsidRPr="00A34D10">
        <w:rPr>
          <w:rFonts w:asciiTheme="majorHAnsi" w:hAnsiTheme="majorHAnsi" w:cs="DejaVu Sans"/>
          <w:color w:val="000000"/>
          <w:lang w:val="it-IT"/>
        </w:rPr>
        <w:t>“</w:t>
      </w:r>
      <w:r w:rsidR="00246181">
        <w:rPr>
          <w:rFonts w:asciiTheme="majorHAnsi" w:hAnsiTheme="majorHAnsi" w:cs="DejaVu Sans"/>
          <w:color w:val="000000"/>
          <w:lang w:val="it-IT"/>
        </w:rPr>
        <w:t>M</w:t>
      </w:r>
      <w:r w:rsidRPr="00A34D10">
        <w:rPr>
          <w:rFonts w:asciiTheme="majorHAnsi" w:hAnsiTheme="majorHAnsi" w:cs="DejaVu Sans"/>
          <w:color w:val="000000"/>
          <w:lang w:val="it-IT"/>
        </w:rPr>
        <w:t>odifiche</w:t>
      </w:r>
      <w:r w:rsidRPr="00A34D10">
        <w:rPr>
          <w:rFonts w:asciiTheme="majorHAnsi" w:hAnsiTheme="majorHAnsi"/>
          <w:color w:val="000000"/>
          <w:spacing w:val="-1"/>
          <w:lang w:val="it-IT"/>
        </w:rPr>
        <w:t xml:space="preserve"> alla</w:t>
      </w:r>
      <w:r w:rsidRPr="00A34D10">
        <w:rPr>
          <w:rFonts w:asciiTheme="majorHAnsi" w:hAnsiTheme="majorHAnsi"/>
          <w:color w:val="000000"/>
          <w:spacing w:val="2"/>
          <w:lang w:val="it-IT"/>
        </w:rPr>
        <w:t xml:space="preserve"> </w:t>
      </w:r>
      <w:r w:rsidRPr="00A34D10">
        <w:rPr>
          <w:rFonts w:asciiTheme="majorHAnsi" w:hAnsiTheme="majorHAnsi"/>
          <w:color w:val="000000"/>
          <w:lang w:val="it-IT"/>
        </w:rPr>
        <w:t>legge regionale</w:t>
      </w:r>
      <w:r w:rsidRPr="00A34D10">
        <w:rPr>
          <w:rFonts w:asciiTheme="majorHAnsi" w:hAnsiTheme="majorHAnsi"/>
          <w:color w:val="000000"/>
          <w:spacing w:val="3"/>
          <w:lang w:val="it-IT"/>
        </w:rPr>
        <w:t xml:space="preserve"> </w:t>
      </w:r>
      <w:r w:rsidRPr="00A34D10">
        <w:rPr>
          <w:rFonts w:asciiTheme="majorHAnsi" w:hAnsiTheme="majorHAnsi"/>
          <w:color w:val="000000"/>
          <w:spacing w:val="-1"/>
          <w:lang w:val="it-IT"/>
        </w:rPr>
        <w:t>n</w:t>
      </w:r>
      <w:r w:rsidR="00246181">
        <w:rPr>
          <w:rFonts w:asciiTheme="majorHAnsi" w:hAnsiTheme="majorHAnsi"/>
          <w:color w:val="000000"/>
          <w:spacing w:val="-1"/>
          <w:lang w:val="it-IT"/>
        </w:rPr>
        <w:t>.</w:t>
      </w:r>
      <w:r w:rsidRPr="00A34D10">
        <w:rPr>
          <w:rFonts w:asciiTheme="majorHAnsi" w:hAnsiTheme="majorHAnsi"/>
          <w:color w:val="000000"/>
          <w:spacing w:val="3"/>
          <w:lang w:val="it-IT"/>
        </w:rPr>
        <w:t xml:space="preserve"> </w:t>
      </w:r>
      <w:r w:rsidRPr="00A34D10">
        <w:rPr>
          <w:rFonts w:asciiTheme="majorHAnsi" w:hAnsiTheme="majorHAnsi"/>
          <w:color w:val="000000"/>
          <w:lang w:val="it-IT"/>
        </w:rPr>
        <w:t>1</w:t>
      </w:r>
      <w:r w:rsidR="00E02232">
        <w:rPr>
          <w:rFonts w:asciiTheme="majorHAnsi" w:hAnsiTheme="majorHAnsi"/>
          <w:color w:val="000000"/>
          <w:lang w:val="it-IT"/>
        </w:rPr>
        <w:t xml:space="preserve">0 del 22 luglio </w:t>
      </w:r>
      <w:r w:rsidR="00246181">
        <w:rPr>
          <w:rFonts w:asciiTheme="majorHAnsi" w:hAnsiTheme="majorHAnsi"/>
          <w:color w:val="000000"/>
          <w:lang w:val="it-IT"/>
        </w:rPr>
        <w:t xml:space="preserve">2024 </w:t>
      </w:r>
      <w:r w:rsidR="00246181" w:rsidRPr="00A34D10">
        <w:rPr>
          <w:rFonts w:asciiTheme="majorHAnsi" w:hAnsiTheme="majorHAnsi"/>
          <w:color w:val="000000"/>
          <w:spacing w:val="-2"/>
          <w:lang w:val="it-IT"/>
        </w:rPr>
        <w:t>“</w:t>
      </w:r>
      <w:r w:rsidR="00E02232">
        <w:rPr>
          <w:rFonts w:asciiTheme="majorHAnsi" w:hAnsiTheme="majorHAnsi"/>
          <w:lang w:val="it-IT"/>
        </w:rPr>
        <w:t>disciplina del settore dei trasporti pubblici non di linea”</w:t>
      </w:r>
    </w:p>
    <w:p w14:paraId="2898CEFF" w14:textId="2D23B633" w:rsidR="00A47F02" w:rsidRPr="00A34D10" w:rsidRDefault="008C1E6D" w:rsidP="008C1E6D">
      <w:pPr>
        <w:widowControl w:val="0"/>
        <w:autoSpaceDE w:val="0"/>
        <w:autoSpaceDN w:val="0"/>
        <w:spacing w:after="120" w:line="240" w:lineRule="auto"/>
        <w:jc w:val="center"/>
        <w:rPr>
          <w:rFonts w:asciiTheme="majorHAnsi" w:hAnsiTheme="majorHAnsi"/>
          <w:b/>
          <w:bCs/>
          <w:lang w:val="it-IT"/>
        </w:rPr>
      </w:pPr>
      <w:r w:rsidRPr="00A34D10">
        <w:rPr>
          <w:rFonts w:asciiTheme="majorHAnsi" w:hAnsiTheme="majorHAnsi"/>
          <w:b/>
          <w:bCs/>
          <w:lang w:val="it-IT"/>
        </w:rPr>
        <w:t>ad iniziativa del Consigliere Regionale LUCA CASCONE</w:t>
      </w:r>
    </w:p>
    <w:tbl>
      <w:tblPr>
        <w:tblStyle w:val="Grigliatabella"/>
        <w:tblW w:w="892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63"/>
        <w:gridCol w:w="6663"/>
      </w:tblGrid>
      <w:tr w:rsidR="009E1B7A" w:rsidRPr="00A34D10" w14:paraId="5AAC0BD9" w14:textId="77777777" w:rsidTr="00C86734">
        <w:tc>
          <w:tcPr>
            <w:tcW w:w="2263" w:type="dxa"/>
            <w:vAlign w:val="center"/>
          </w:tcPr>
          <w:p w14:paraId="2AC6DBC6" w14:textId="77777777" w:rsidR="00D2756A" w:rsidRPr="00A34D10" w:rsidRDefault="00D2756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04087F4" w14:textId="1B97D4AE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SEZIONI</w:t>
            </w:r>
          </w:p>
        </w:tc>
        <w:tc>
          <w:tcPr>
            <w:tcW w:w="6663" w:type="dxa"/>
            <w:vAlign w:val="center"/>
          </w:tcPr>
          <w:p w14:paraId="46AC4A52" w14:textId="77777777" w:rsidR="009E1B7A" w:rsidRPr="00A34D10" w:rsidRDefault="009E1B7A" w:rsidP="00C86734">
            <w:pPr>
              <w:jc w:val="center"/>
              <w:rPr>
                <w:rFonts w:asciiTheme="majorHAnsi" w:hAnsiTheme="majorHAnsi"/>
                <w:b/>
                <w:color w:val="FF0000"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CONTENUTI</w:t>
            </w:r>
          </w:p>
        </w:tc>
      </w:tr>
      <w:tr w:rsidR="009E1B7A" w:rsidRPr="007B3860" w14:paraId="02ECF5DC" w14:textId="77777777" w:rsidTr="00C86734">
        <w:tc>
          <w:tcPr>
            <w:tcW w:w="2263" w:type="dxa"/>
            <w:vAlign w:val="center"/>
          </w:tcPr>
          <w:p w14:paraId="4BCBB6FC" w14:textId="77777777" w:rsidR="00D2756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 xml:space="preserve">Sezione 1 </w:t>
            </w:r>
          </w:p>
          <w:p w14:paraId="513A6793" w14:textId="3405564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- Contesto e obiettivi dell’intervento di regolamentazione</w:t>
            </w:r>
          </w:p>
          <w:p w14:paraId="65C52D6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FB8DBEE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1D0946F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D36260B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53F7C04F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5B57654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668FF63D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28BF956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6C51109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D6E91B6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E7168BE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60F6C5B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115BBC8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AF6C4F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CB262B2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B5EEDD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FCB687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20454E0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E724E5E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2035534F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2FEBF700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243F517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54F66D1" w14:textId="77777777" w:rsidR="007F7F58" w:rsidRPr="00A34D10" w:rsidRDefault="007F7F58" w:rsidP="007F7F58">
            <w:pPr>
              <w:spacing w:before="24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64D2F271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a) Rappresentazione del problema da risolvere e delle criticità constatate</w:t>
            </w:r>
            <w:r w:rsidRPr="007B3860">
              <w:rPr>
                <w:rFonts w:asciiTheme="majorHAnsi" w:hAnsiTheme="majorHAnsi"/>
                <w:lang w:val="it-IT"/>
              </w:rPr>
              <w:br/>
              <w:t>La legge regionale n. 10/2024 ha introdotto una disciplina omogenea per il settore dei trasporti pubblici non di linea, regolamentando servizi taxi, NCC (noleggio con conducente) e il noleggio di autobus con conducente. Tuttavia, l’applicazione della normativa ha evidenziato difficoltà operative dovute a:</w:t>
            </w:r>
          </w:p>
          <w:p w14:paraId="0BABBBE2" w14:textId="77777777" w:rsidR="007B3860" w:rsidRPr="007B3860" w:rsidRDefault="007B3860" w:rsidP="007B38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Tempi inadeguati per l’adozione dei provvedimenti attuativi, inizialmente fissati a 120 giorni.</w:t>
            </w:r>
          </w:p>
          <w:p w14:paraId="565396FB" w14:textId="77777777" w:rsidR="007B3860" w:rsidRPr="007B3860" w:rsidRDefault="007B3860" w:rsidP="007B38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Modifiche richieste dal Governo dopo l’approvazione della legge, recepite con la legge di modifica n. 19/2024, che hanno rallentato il processo attuativo.</w:t>
            </w:r>
          </w:p>
          <w:p w14:paraId="5FD3F8C4" w14:textId="77777777" w:rsidR="007B3860" w:rsidRPr="007B3860" w:rsidRDefault="007B3860" w:rsidP="007B38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Complessità tecnica e diversità dei servizi regolamentati, che richiedono approfondimenti per garantire una regolamentazione chiara e coerente.</w:t>
            </w:r>
          </w:p>
          <w:p w14:paraId="61FB7262" w14:textId="77777777" w:rsidR="007B3860" w:rsidRPr="007B3860" w:rsidRDefault="007B3860" w:rsidP="007B386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Richieste degli enti locali per maggior tempo nell’adeguamento dei regolamenti comunali.</w:t>
            </w:r>
          </w:p>
          <w:p w14:paraId="407C2CCB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 xml:space="preserve">Esigenze sociali </w:t>
            </w:r>
            <w:proofErr w:type="gramStart"/>
            <w:r w:rsidRPr="007B3860">
              <w:rPr>
                <w:rFonts w:asciiTheme="majorHAnsi" w:hAnsiTheme="majorHAnsi"/>
                <w:lang w:val="it-IT"/>
              </w:rPr>
              <w:t>e</w:t>
            </w:r>
            <w:proofErr w:type="gramEnd"/>
            <w:r w:rsidRPr="007B3860">
              <w:rPr>
                <w:rFonts w:asciiTheme="majorHAnsi" w:hAnsiTheme="majorHAnsi"/>
                <w:lang w:val="it-IT"/>
              </w:rPr>
              <w:t xml:space="preserve"> economiche</w:t>
            </w:r>
          </w:p>
          <w:p w14:paraId="06600B1F" w14:textId="76CF4C99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La proposta mira a garantire la continuità normativa, tutelando sia gli operatori del settore che gli utenti. Inoltre, intende assicurare uno sviluppo equilibrato dei servizi di trasporto pubblico non di linea, promuovendo sicurezza, trasparenza e accessibilità.</w:t>
            </w:r>
          </w:p>
          <w:p w14:paraId="2D975EDB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Contesto normativo</w:t>
            </w:r>
          </w:p>
          <w:p w14:paraId="231ED30C" w14:textId="77777777" w:rsidR="007B3860" w:rsidRPr="007B3860" w:rsidRDefault="007B3860" w:rsidP="007B386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Decreto Legislativo n. 285/1992 (Nuovo Codice della Strada)</w:t>
            </w:r>
          </w:p>
          <w:p w14:paraId="709344E1" w14:textId="77777777" w:rsidR="007B3860" w:rsidRPr="007B3860" w:rsidRDefault="007B3860" w:rsidP="007B386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Legge 15 gennaio 1992, n. 21 (Legge quadro per il trasporto di persone mediante autoservizi pubblici non di linea)</w:t>
            </w:r>
          </w:p>
          <w:p w14:paraId="5CC65D8E" w14:textId="77777777" w:rsidR="007B3860" w:rsidRPr="007B3860" w:rsidRDefault="007B3860" w:rsidP="007B386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Legge regionale n. 10/2024</w:t>
            </w:r>
          </w:p>
          <w:p w14:paraId="40FFE721" w14:textId="77777777" w:rsidR="007B3860" w:rsidRPr="007B3860" w:rsidRDefault="007B3860" w:rsidP="007B386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Legge regionale n. 19/2024 (Modifiche alla legge n. 10/2024)</w:t>
            </w:r>
          </w:p>
          <w:p w14:paraId="3452AEF6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lastRenderedPageBreak/>
              <w:t>b) Obiettivi perseguiti con l’intervento normativo</w:t>
            </w:r>
          </w:p>
          <w:p w14:paraId="630EE244" w14:textId="77777777" w:rsidR="007B3860" w:rsidRPr="007B3860" w:rsidRDefault="007B3860" w:rsidP="007B386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Prolungare i termini per l’adozione dei provvedimenti attuativi da 120 giorni a 12 mesi, permettendo una pianificazione più adeguata.</w:t>
            </w:r>
          </w:p>
          <w:p w14:paraId="4D0B2ECF" w14:textId="77777777" w:rsidR="007B3860" w:rsidRPr="007B3860" w:rsidRDefault="007B3860" w:rsidP="007B386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Introdurre una clausola transitoria che preservi la validità delle disposizioni vigenti fino all’attuazione delle nuove.</w:t>
            </w:r>
          </w:p>
          <w:p w14:paraId="410F8873" w14:textId="77777777" w:rsidR="007B3860" w:rsidRPr="007B3860" w:rsidRDefault="007B3860" w:rsidP="007B3860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Modificare il titolo della legge per includere esplicitamente il noleggio di autobus con conducente.</w:t>
            </w:r>
          </w:p>
          <w:p w14:paraId="0BF28809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c) Descrizione degli indicatori per verificare gli obiettivi e monitorare l’attuazione</w:t>
            </w:r>
          </w:p>
          <w:p w14:paraId="72597617" w14:textId="77777777" w:rsidR="007B3860" w:rsidRPr="007B3860" w:rsidRDefault="007B3860" w:rsidP="007B3860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Numero di regolamenti adottati entro i nuovi termini.</w:t>
            </w:r>
          </w:p>
          <w:p w14:paraId="6D1452BA" w14:textId="77777777" w:rsidR="007B3860" w:rsidRPr="007B3860" w:rsidRDefault="007B3860" w:rsidP="007B3860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Percentuale di Comuni che adeguano i propri regolamenti locali.</w:t>
            </w:r>
          </w:p>
          <w:p w14:paraId="3FB6ABDF" w14:textId="77777777" w:rsidR="007B3860" w:rsidRPr="007B3860" w:rsidRDefault="007B3860" w:rsidP="007B3860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Feedback degli operatori del settore sul miglioramento della chiarezza normativa.</w:t>
            </w:r>
          </w:p>
          <w:p w14:paraId="5DEC5F0E" w14:textId="77777777" w:rsidR="007B3860" w:rsidRPr="007B3860" w:rsidRDefault="007B3860" w:rsidP="007B3860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Riduzione dei contenziosi legati all’applicazione della legge.</w:t>
            </w:r>
          </w:p>
          <w:p w14:paraId="50077C25" w14:textId="77777777" w:rsidR="007B3860" w:rsidRPr="007B3860" w:rsidRDefault="007B3860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d) Indicazione delle categorie di soggetti destinatari</w:t>
            </w:r>
          </w:p>
          <w:p w14:paraId="4A326C09" w14:textId="77777777" w:rsidR="007B3860" w:rsidRPr="007B3860" w:rsidRDefault="007B3860" w:rsidP="007B38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Enti pubblici: Giunta regionale, Comuni.</w:t>
            </w:r>
          </w:p>
          <w:p w14:paraId="1A88B210" w14:textId="0704B80C" w:rsidR="007B3860" w:rsidRDefault="007B3860" w:rsidP="007B38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Operatori privati: imprese di trasporto (taxi, NCC, noleggio autobus).</w:t>
            </w:r>
          </w:p>
          <w:p w14:paraId="6681C994" w14:textId="77777777" w:rsidR="00874980" w:rsidRPr="007B3860" w:rsidRDefault="00874980" w:rsidP="007B38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</w:p>
          <w:p w14:paraId="11F86FFD" w14:textId="7EE8CDD9" w:rsidR="003A759D" w:rsidRPr="007B3860" w:rsidRDefault="003A759D" w:rsidP="007B386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hAnsiTheme="majorHAnsi"/>
                <w:lang w:val="it-IT"/>
              </w:rPr>
            </w:pPr>
          </w:p>
        </w:tc>
      </w:tr>
      <w:tr w:rsidR="009E1B7A" w:rsidRPr="0096253C" w14:paraId="45AC46C1" w14:textId="77777777" w:rsidTr="00C86734">
        <w:tc>
          <w:tcPr>
            <w:tcW w:w="2263" w:type="dxa"/>
            <w:vAlign w:val="center"/>
          </w:tcPr>
          <w:p w14:paraId="57A0AE32" w14:textId="77777777" w:rsidR="009E1B7A" w:rsidRPr="00A34D10" w:rsidRDefault="009E1B7A" w:rsidP="00A34D10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lastRenderedPageBreak/>
              <w:t xml:space="preserve">Sezione 2 – </w:t>
            </w:r>
          </w:p>
          <w:p w14:paraId="4487C991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Procedure di consultazione precedenti l’intervento</w:t>
            </w:r>
          </w:p>
          <w:p w14:paraId="1B852754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977847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A4793A0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311EE9EF" w14:textId="13BABAA4" w:rsidR="007B3860" w:rsidRPr="007B3860" w:rsidRDefault="007B3860" w:rsidP="007B3860">
            <w:pPr>
              <w:spacing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Consultazioni con i Comuni e le associazioni di categoria degli operatori del settore.</w:t>
            </w:r>
          </w:p>
          <w:p w14:paraId="36F73B57" w14:textId="2AA7B573" w:rsidR="009E1B7A" w:rsidRPr="00A34D10" w:rsidRDefault="007B3860" w:rsidP="007B3860">
            <w:pPr>
              <w:spacing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Osservazioni e richieste ricevute dal Governo durante l’approvazione della legge n. 10/2024.</w:t>
            </w:r>
          </w:p>
        </w:tc>
      </w:tr>
      <w:tr w:rsidR="009E1B7A" w:rsidRPr="007B3860" w14:paraId="1C690846" w14:textId="77777777" w:rsidTr="00C86734">
        <w:tc>
          <w:tcPr>
            <w:tcW w:w="2263" w:type="dxa"/>
            <w:vAlign w:val="center"/>
          </w:tcPr>
          <w:p w14:paraId="446F1914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Sezione 3 - Valutazione dell’opzione di non intervento di regolamentazione (opzione zero)</w:t>
            </w:r>
          </w:p>
          <w:p w14:paraId="7D234542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72F688CC" w14:textId="77777777" w:rsidR="007B3860" w:rsidRPr="007B3860" w:rsidRDefault="007B3860" w:rsidP="007B3860">
            <w:pPr>
              <w:tabs>
                <w:tab w:val="left" w:pos="226"/>
              </w:tabs>
              <w:spacing w:after="120" w:line="240" w:lineRule="auto"/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</w:pPr>
            <w:r w:rsidRPr="007B3860"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  <w:t>L’opzione zero consisterebbe nel mantenere i termini e le disposizioni originarie.</w:t>
            </w:r>
          </w:p>
          <w:p w14:paraId="76EADEBC" w14:textId="77777777" w:rsidR="007B3860" w:rsidRPr="007B3860" w:rsidRDefault="007B3860" w:rsidP="007B3860">
            <w:pPr>
              <w:numPr>
                <w:ilvl w:val="0"/>
                <w:numId w:val="14"/>
              </w:numPr>
              <w:tabs>
                <w:tab w:val="left" w:pos="226"/>
              </w:tabs>
              <w:spacing w:after="120" w:line="240" w:lineRule="auto"/>
              <w:ind w:left="0" w:firstLine="0"/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</w:pPr>
            <w:r w:rsidRPr="007B3860">
              <w:rPr>
                <w:rFonts w:asciiTheme="majorHAnsi" w:hAnsiTheme="majorHAnsi" w:cs="Segoe UI"/>
                <w:b/>
                <w:bCs/>
                <w:color w:val="0D0D0D"/>
                <w:shd w:val="clear" w:color="auto" w:fill="FFFFFF"/>
                <w:lang w:val="it-IT"/>
              </w:rPr>
              <w:t>Effetti negativi</w:t>
            </w:r>
            <w:r w:rsidRPr="007B3860"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  <w:t>:</w:t>
            </w:r>
          </w:p>
          <w:p w14:paraId="2B6FD067" w14:textId="77777777" w:rsidR="007B3860" w:rsidRPr="007B3860" w:rsidRDefault="007B3860" w:rsidP="007B3860">
            <w:pPr>
              <w:tabs>
                <w:tab w:val="left" w:pos="226"/>
              </w:tabs>
              <w:spacing w:after="120" w:line="240" w:lineRule="auto"/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</w:pPr>
            <w:r w:rsidRPr="007B3860"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  <w:t>Persistenza dei ritardi nell’adozione dei provvedimenti attuativi.</w:t>
            </w:r>
          </w:p>
          <w:p w14:paraId="7B9ACDDD" w14:textId="77777777" w:rsidR="007B3860" w:rsidRPr="007B3860" w:rsidRDefault="007B3860" w:rsidP="007B3860">
            <w:pPr>
              <w:tabs>
                <w:tab w:val="left" w:pos="226"/>
              </w:tabs>
              <w:spacing w:after="120" w:line="240" w:lineRule="auto"/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</w:pPr>
            <w:r w:rsidRPr="007B3860"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  <w:t>Rischio di incertezza normativa e possibili contenziosi.</w:t>
            </w:r>
          </w:p>
          <w:p w14:paraId="7CD89E4D" w14:textId="77777777" w:rsidR="007B3860" w:rsidRPr="007B3860" w:rsidRDefault="007B3860" w:rsidP="007B3860">
            <w:pPr>
              <w:tabs>
                <w:tab w:val="left" w:pos="226"/>
              </w:tabs>
              <w:spacing w:after="120" w:line="240" w:lineRule="auto"/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</w:pPr>
            <w:r w:rsidRPr="007B3860">
              <w:rPr>
                <w:rFonts w:asciiTheme="majorHAnsi" w:hAnsiTheme="majorHAnsi" w:cs="Segoe UI"/>
                <w:color w:val="0D0D0D"/>
                <w:shd w:val="clear" w:color="auto" w:fill="FFFFFF"/>
                <w:lang w:val="it-IT"/>
              </w:rPr>
              <w:t>Mancata chiarezza nel titolo della legge, che non riflette pienamente l’ambito normativo.</w:t>
            </w:r>
          </w:p>
          <w:p w14:paraId="4D24EB70" w14:textId="53760DA6" w:rsidR="009E1B7A" w:rsidRPr="00A34D10" w:rsidRDefault="009E1B7A" w:rsidP="00887228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</w:p>
        </w:tc>
      </w:tr>
      <w:tr w:rsidR="009E1B7A" w:rsidRPr="007B3860" w14:paraId="02979620" w14:textId="77777777" w:rsidTr="00C86734">
        <w:tc>
          <w:tcPr>
            <w:tcW w:w="2263" w:type="dxa"/>
            <w:vAlign w:val="center"/>
          </w:tcPr>
          <w:p w14:paraId="046F1E14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lastRenderedPageBreak/>
              <w:t xml:space="preserve">Sezione 4 – </w:t>
            </w:r>
          </w:p>
          <w:p w14:paraId="30E67CEC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proofErr w:type="gramStart"/>
            <w:r w:rsidRPr="00A34D10">
              <w:rPr>
                <w:rFonts w:asciiTheme="majorHAnsi" w:hAnsiTheme="majorHAnsi"/>
                <w:b/>
                <w:lang w:val="it-IT"/>
              </w:rPr>
              <w:t>Opzioni alternative</w:t>
            </w:r>
            <w:proofErr w:type="gramEnd"/>
            <w:r w:rsidRPr="00A34D10">
              <w:rPr>
                <w:rFonts w:asciiTheme="majorHAnsi" w:hAnsiTheme="majorHAnsi"/>
                <w:b/>
                <w:lang w:val="it-IT"/>
              </w:rPr>
              <w:t xml:space="preserve"> all’intervento regolatorio</w:t>
            </w:r>
          </w:p>
          <w:p w14:paraId="35E1A508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543CC4D3" w14:textId="77777777" w:rsidR="009E1B7A" w:rsidRDefault="009E1B7A" w:rsidP="00887228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  <w:r w:rsidRPr="00A34D10">
              <w:rPr>
                <w:rFonts w:asciiTheme="majorHAnsi" w:hAnsiTheme="majorHAnsi"/>
                <w:lang w:val="it-IT"/>
              </w:rPr>
              <w:t>Eventuali attività programmatorie a carico della Giunta finalizzate all’organizzazione di attività oggetto della legge hanno necessità di essere individuate e finalizzate con un provvedimento legislativo.</w:t>
            </w:r>
          </w:p>
          <w:p w14:paraId="2C84ED7D" w14:textId="77777777" w:rsidR="007B3860" w:rsidRPr="00A34D10" w:rsidRDefault="007B3860" w:rsidP="00887228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</w:p>
        </w:tc>
      </w:tr>
      <w:tr w:rsidR="009E1B7A" w:rsidRPr="007B3860" w14:paraId="1245937A" w14:textId="77777777" w:rsidTr="00C86734">
        <w:tc>
          <w:tcPr>
            <w:tcW w:w="2263" w:type="dxa"/>
            <w:vAlign w:val="center"/>
          </w:tcPr>
          <w:p w14:paraId="7EE76A0A" w14:textId="2B2DAA3F" w:rsidR="007F7F58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 xml:space="preserve">Sezione 5 </w:t>
            </w:r>
            <w:r w:rsidR="007F7F58" w:rsidRPr="00A34D10">
              <w:rPr>
                <w:rFonts w:asciiTheme="majorHAnsi" w:hAnsiTheme="majorHAnsi"/>
                <w:b/>
                <w:lang w:val="it-IT"/>
              </w:rPr>
              <w:t>–</w:t>
            </w:r>
          </w:p>
          <w:p w14:paraId="355CFB32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 xml:space="preserve"> Giustificazione dell’opzione regolatoria proposta e valutazione degli oneri amministrativi e dell’impatto sulle PMI</w:t>
            </w:r>
          </w:p>
          <w:p w14:paraId="481E7408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2FA0FE24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68DAFE1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C9FEA91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6A157F4F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C6C324D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DFF5F9D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D203FD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B40C666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101AF7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7E663B42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1651CEF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CAA4C1A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8ACDB7B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C670891" w14:textId="71665C14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67C06C55" w14:textId="77777777" w:rsidR="009E1B7A" w:rsidRPr="00A34D10" w:rsidRDefault="009E1B7A" w:rsidP="00887228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ind w:left="325" w:hanging="325"/>
              <w:rPr>
                <w:rFonts w:asciiTheme="majorHAnsi" w:hAnsiTheme="majorHAnsi"/>
                <w:b/>
              </w:rPr>
            </w:pPr>
            <w:r w:rsidRPr="00A34D10">
              <w:rPr>
                <w:rFonts w:asciiTheme="majorHAnsi" w:hAnsiTheme="majorHAnsi"/>
                <w:b/>
              </w:rPr>
              <w:t>Svantaggi e vantaggi dell’opzione prescelta per i destinatari diretti e indiretti</w:t>
            </w:r>
          </w:p>
          <w:p w14:paraId="485C2877" w14:textId="77777777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b/>
                <w:lang w:val="it-IT"/>
              </w:rPr>
            </w:pPr>
            <w:r w:rsidRPr="007B3860">
              <w:rPr>
                <w:rFonts w:asciiTheme="majorHAnsi" w:hAnsiTheme="majorHAnsi"/>
                <w:b/>
                <w:bCs/>
                <w:lang w:val="it-IT"/>
              </w:rPr>
              <w:t>a) Vantaggi dell’opzione prescelta</w:t>
            </w:r>
          </w:p>
          <w:p w14:paraId="12894888" w14:textId="77777777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Comuni: Maggior tempo per adeguare i regolamenti, evitando inadempienze.</w:t>
            </w:r>
          </w:p>
          <w:p w14:paraId="37B04114" w14:textId="77777777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Operatori del settore: Continuità normativa e chiarezza grazie alla clausola transitoria.</w:t>
            </w:r>
          </w:p>
          <w:p w14:paraId="7FBD7487" w14:textId="77777777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b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 xml:space="preserve">Regione: Tempi adeguati </w:t>
            </w:r>
            <w:proofErr w:type="gramStart"/>
            <w:r w:rsidRPr="007B3860">
              <w:rPr>
                <w:rFonts w:asciiTheme="majorHAnsi" w:hAnsiTheme="majorHAnsi"/>
                <w:lang w:val="it-IT"/>
              </w:rPr>
              <w:t>per l’elaborazione</w:t>
            </w:r>
            <w:proofErr w:type="gramEnd"/>
            <w:r w:rsidRPr="007B3860">
              <w:rPr>
                <w:rFonts w:asciiTheme="majorHAnsi" w:hAnsiTheme="majorHAnsi"/>
                <w:lang w:val="it-IT"/>
              </w:rPr>
              <w:t xml:space="preserve"> dei regolamenti attuativi</w:t>
            </w:r>
            <w:r w:rsidRPr="007B3860">
              <w:rPr>
                <w:rFonts w:asciiTheme="majorHAnsi" w:hAnsiTheme="majorHAnsi"/>
                <w:b/>
                <w:lang w:val="it-IT"/>
              </w:rPr>
              <w:t>.</w:t>
            </w:r>
          </w:p>
          <w:p w14:paraId="116C2CB2" w14:textId="77777777" w:rsidR="007B3860" w:rsidRDefault="007B3860" w:rsidP="007B3860">
            <w:pPr>
              <w:pStyle w:val="Paragrafoelenco"/>
              <w:numPr>
                <w:ilvl w:val="0"/>
                <w:numId w:val="5"/>
              </w:numPr>
              <w:spacing w:after="120" w:line="240" w:lineRule="auto"/>
              <w:ind w:left="325" w:hanging="325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Svantaggi </w:t>
            </w:r>
          </w:p>
          <w:p w14:paraId="5E661B9D" w14:textId="5C7BB8C4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Ritardi nell’attuazione definitiva della normativa</w:t>
            </w:r>
          </w:p>
          <w:p w14:paraId="0E3E4E60" w14:textId="77777777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b/>
                <w:bCs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Prolungando i termini per l’adozione dei provvedimenti attuativi da 120 giorni a 12 mesi, si rischia di posticipare l’applicazione completa delle disposizioni normative, con un conseguente ritardo nell’erogazione dei benefici attesi per operatori e utenti</w:t>
            </w:r>
            <w:r w:rsidRPr="007B3860">
              <w:rPr>
                <w:rFonts w:asciiTheme="majorHAnsi" w:hAnsiTheme="majorHAnsi"/>
                <w:b/>
                <w:bCs/>
                <w:lang w:val="it-IT"/>
              </w:rPr>
              <w:t>.</w:t>
            </w:r>
          </w:p>
          <w:p w14:paraId="222C5E33" w14:textId="75A5165D" w:rsidR="007B3860" w:rsidRPr="007B3860" w:rsidRDefault="007B3860" w:rsidP="007B3860">
            <w:pPr>
              <w:pStyle w:val="Paragrafoelenco"/>
              <w:numPr>
                <w:ilvl w:val="0"/>
                <w:numId w:val="5"/>
              </w:numPr>
              <w:spacing w:after="120" w:line="240" w:lineRule="auto"/>
              <w:ind w:left="325" w:hanging="325"/>
              <w:rPr>
                <w:rFonts w:asciiTheme="majorHAnsi" w:hAnsiTheme="majorHAnsi"/>
                <w:b/>
                <w:bCs/>
              </w:rPr>
            </w:pPr>
            <w:r w:rsidRPr="007B3860">
              <w:rPr>
                <w:rFonts w:asciiTheme="majorHAnsi" w:hAnsiTheme="majorHAnsi"/>
                <w:b/>
                <w:bCs/>
              </w:rPr>
              <w:t>Costi e oneri amministrativi</w:t>
            </w:r>
          </w:p>
          <w:p w14:paraId="70011C3C" w14:textId="67CE18E6" w:rsidR="007B3860" w:rsidRPr="007B3860" w:rsidRDefault="007B3860" w:rsidP="007B3860">
            <w:pPr>
              <w:spacing w:after="120" w:line="240" w:lineRule="auto"/>
              <w:rPr>
                <w:rFonts w:asciiTheme="majorHAnsi" w:hAnsiTheme="majorHAnsi"/>
                <w:bCs/>
                <w:lang w:val="it-IT"/>
              </w:rPr>
            </w:pPr>
            <w:r w:rsidRPr="007B3860">
              <w:rPr>
                <w:rFonts w:asciiTheme="majorHAnsi" w:hAnsiTheme="majorHAnsi"/>
                <w:bCs/>
                <w:lang w:val="it-IT"/>
              </w:rPr>
              <w:t>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718B90F9" w14:textId="3F85C26F" w:rsidR="009E1B7A" w:rsidRPr="00A34D10" w:rsidRDefault="009E1B7A" w:rsidP="00887228">
            <w:pPr>
              <w:spacing w:after="120" w:line="240" w:lineRule="auto"/>
              <w:rPr>
                <w:rFonts w:asciiTheme="majorHAnsi" w:hAnsiTheme="majorHAnsi"/>
                <w:lang w:val="it-IT"/>
              </w:rPr>
            </w:pPr>
            <w:r w:rsidRPr="00A34D10">
              <w:rPr>
                <w:rFonts w:asciiTheme="majorHAnsi" w:hAnsiTheme="majorHAnsi"/>
                <w:lang w:val="it-IT"/>
              </w:rPr>
              <w:t xml:space="preserve">L’impianto normativo </w:t>
            </w:r>
            <w:r w:rsidR="002F05AE" w:rsidRPr="00A34D10">
              <w:rPr>
                <w:rFonts w:asciiTheme="majorHAnsi" w:hAnsiTheme="majorHAnsi"/>
                <w:lang w:val="it-IT"/>
              </w:rPr>
              <w:t xml:space="preserve">non </w:t>
            </w:r>
            <w:r w:rsidRPr="00A34D10">
              <w:rPr>
                <w:rFonts w:asciiTheme="majorHAnsi" w:hAnsiTheme="majorHAnsi"/>
                <w:lang w:val="it-IT"/>
              </w:rPr>
              <w:t xml:space="preserve">introduce oneri a carico della Regione </w:t>
            </w:r>
          </w:p>
        </w:tc>
      </w:tr>
      <w:tr w:rsidR="009E1B7A" w:rsidRPr="007B3860" w14:paraId="4528B701" w14:textId="77777777" w:rsidTr="00C86734">
        <w:tc>
          <w:tcPr>
            <w:tcW w:w="2263" w:type="dxa"/>
            <w:vAlign w:val="center"/>
          </w:tcPr>
          <w:p w14:paraId="12375BE8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 xml:space="preserve">Sezione 6 – </w:t>
            </w:r>
          </w:p>
          <w:p w14:paraId="70CD89AD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Incidenza sul corretto funzionamento concorrenziale del mercato e sulla competitività regionale, nonché sulle politiche giovanili</w:t>
            </w:r>
          </w:p>
        </w:tc>
        <w:tc>
          <w:tcPr>
            <w:tcW w:w="6663" w:type="dxa"/>
            <w:vAlign w:val="center"/>
          </w:tcPr>
          <w:p w14:paraId="1827AD1C" w14:textId="34772904" w:rsidR="009E1B7A" w:rsidRPr="00A34D10" w:rsidRDefault="007B3860" w:rsidP="00887228">
            <w:pPr>
              <w:spacing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L’intervento normativo non ostacola la concorrenza o il mercato. Al contrario, promuove un contesto normativo chiaro e stabile, favorendo lo sviluppo economico e l’accessibilità dei servizi di trasporto pubblico non di linea.</w:t>
            </w:r>
          </w:p>
        </w:tc>
      </w:tr>
      <w:tr w:rsidR="009E1B7A" w:rsidRPr="0096253C" w14:paraId="436A9CEF" w14:textId="77777777" w:rsidTr="00C86734">
        <w:tc>
          <w:tcPr>
            <w:tcW w:w="2263" w:type="dxa"/>
            <w:vAlign w:val="center"/>
          </w:tcPr>
          <w:p w14:paraId="4601852B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 xml:space="preserve">Sezione 7 – </w:t>
            </w:r>
          </w:p>
          <w:p w14:paraId="2D417998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Modalità attuative dell’intervento di regolamentazione</w:t>
            </w:r>
          </w:p>
          <w:p w14:paraId="6402ED62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0D71927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3C0CBCC9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2A010DA2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  <w:p w14:paraId="435E9A5D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392F1B5C" w14:textId="1DB03298" w:rsidR="007B3860" w:rsidRPr="007B3860" w:rsidRDefault="007B3860" w:rsidP="007B3860">
            <w:pPr>
              <w:spacing w:line="240" w:lineRule="auto"/>
              <w:rPr>
                <w:rFonts w:asciiTheme="majorHAnsi" w:hAnsiTheme="majorHAnsi"/>
                <w:bCs/>
                <w:lang w:val="it-IT"/>
              </w:rPr>
            </w:pPr>
            <w:r w:rsidRPr="007B3860">
              <w:rPr>
                <w:rFonts w:asciiTheme="majorHAnsi" w:hAnsiTheme="majorHAnsi"/>
                <w:b/>
                <w:bCs/>
                <w:lang w:val="it-IT"/>
              </w:rPr>
              <w:lastRenderedPageBreak/>
              <w:t>Responsabili dell’attuazione</w:t>
            </w:r>
            <w:r w:rsidRPr="007B3860">
              <w:rPr>
                <w:rFonts w:asciiTheme="majorHAnsi" w:hAnsiTheme="majorHAnsi"/>
                <w:bCs/>
                <w:lang w:val="it-IT"/>
              </w:rPr>
              <w:t>: Giunta regionale per l’adozione dei regolamenti, Comuni per l’adeguamento dei regolamenti locali.</w:t>
            </w:r>
          </w:p>
          <w:p w14:paraId="2BBE6D0F" w14:textId="5635D80F" w:rsidR="009E1B7A" w:rsidRPr="00A34D10" w:rsidRDefault="007B3860" w:rsidP="007B3860">
            <w:pPr>
              <w:spacing w:line="240" w:lineRule="auto"/>
              <w:rPr>
                <w:rFonts w:asciiTheme="majorHAnsi" w:hAnsiTheme="majorHAnsi"/>
                <w:bCs/>
                <w:color w:val="FF0000"/>
                <w:lang w:val="it-IT"/>
              </w:rPr>
            </w:pPr>
            <w:r w:rsidRPr="007B3860">
              <w:rPr>
                <w:rFonts w:asciiTheme="majorHAnsi" w:hAnsiTheme="majorHAnsi"/>
                <w:bCs/>
                <w:lang w:val="it-IT"/>
              </w:rPr>
              <w:lastRenderedPageBreak/>
              <w:t>Monitoraggio periodico da parte della Direzione Mobilità.</w:t>
            </w:r>
          </w:p>
        </w:tc>
      </w:tr>
      <w:tr w:rsidR="009E1B7A" w:rsidRPr="007B3860" w14:paraId="0084DF2E" w14:textId="77777777" w:rsidTr="00C86734">
        <w:trPr>
          <w:trHeight w:val="1034"/>
        </w:trPr>
        <w:tc>
          <w:tcPr>
            <w:tcW w:w="2263" w:type="dxa"/>
            <w:vAlign w:val="center"/>
          </w:tcPr>
          <w:p w14:paraId="6C135769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lastRenderedPageBreak/>
              <w:t xml:space="preserve">Sezione 8 – </w:t>
            </w:r>
          </w:p>
          <w:p w14:paraId="6AD69AC0" w14:textId="77777777" w:rsidR="009E1B7A" w:rsidRPr="00A34D10" w:rsidRDefault="009E1B7A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  <w:r w:rsidRPr="00A34D10">
              <w:rPr>
                <w:rFonts w:asciiTheme="majorHAnsi" w:hAnsiTheme="majorHAnsi"/>
                <w:b/>
                <w:lang w:val="it-IT"/>
              </w:rPr>
              <w:t>Rispetto dei livelli minimi di regolazione europea</w:t>
            </w:r>
          </w:p>
          <w:p w14:paraId="3D0D4823" w14:textId="77777777" w:rsidR="007F7F58" w:rsidRPr="00A34D10" w:rsidRDefault="007F7F58" w:rsidP="007F7F58">
            <w:pPr>
              <w:spacing w:before="0" w:after="0" w:line="240" w:lineRule="auto"/>
              <w:jc w:val="left"/>
              <w:rPr>
                <w:rFonts w:asciiTheme="majorHAnsi" w:hAnsiTheme="majorHAnsi"/>
                <w:b/>
                <w:lang w:val="it-IT"/>
              </w:rPr>
            </w:pPr>
          </w:p>
        </w:tc>
        <w:tc>
          <w:tcPr>
            <w:tcW w:w="6663" w:type="dxa"/>
            <w:vAlign w:val="center"/>
          </w:tcPr>
          <w:p w14:paraId="719246C5" w14:textId="77777777" w:rsidR="007B3860" w:rsidRPr="007B3860" w:rsidRDefault="007B3860" w:rsidP="007B3860">
            <w:pPr>
              <w:spacing w:line="240" w:lineRule="auto"/>
              <w:rPr>
                <w:rFonts w:asciiTheme="majorHAnsi" w:hAnsiTheme="majorHAnsi"/>
                <w:lang w:val="it-IT"/>
              </w:rPr>
            </w:pPr>
            <w:r w:rsidRPr="007B3860">
              <w:rPr>
                <w:rFonts w:asciiTheme="majorHAnsi" w:hAnsiTheme="majorHAnsi"/>
                <w:lang w:val="it-IT"/>
              </w:rPr>
              <w:t>L’intervento regolatorio rispetta pienamente i livelli minimi di regolazione previsti dalle normative europee in materia di trasporti e concorrenza</w:t>
            </w:r>
          </w:p>
          <w:p w14:paraId="155BDEF3" w14:textId="77777777" w:rsidR="009E1B7A" w:rsidRPr="00A34D10" w:rsidRDefault="009E1B7A" w:rsidP="007B3860">
            <w:pPr>
              <w:spacing w:line="240" w:lineRule="auto"/>
              <w:rPr>
                <w:rFonts w:asciiTheme="majorHAnsi" w:hAnsiTheme="majorHAnsi"/>
                <w:color w:val="FF0000"/>
                <w:lang w:val="it-IT"/>
              </w:rPr>
            </w:pPr>
          </w:p>
        </w:tc>
      </w:tr>
    </w:tbl>
    <w:p w14:paraId="56A2E99F" w14:textId="77777777" w:rsidR="00D2756A" w:rsidRDefault="00D2756A" w:rsidP="007B3860">
      <w:pPr>
        <w:widowControl w:val="0"/>
        <w:autoSpaceDE w:val="0"/>
        <w:autoSpaceDN w:val="0"/>
        <w:spacing w:after="120" w:line="240" w:lineRule="auto"/>
        <w:rPr>
          <w:b/>
          <w:bCs/>
          <w:lang w:val="it-IT"/>
        </w:rPr>
      </w:pPr>
    </w:p>
    <w:sectPr w:rsidR="00D2756A" w:rsidSect="00E27C26">
      <w:headerReference w:type="default" r:id="rId8"/>
      <w:pgSz w:w="11906" w:h="16838"/>
      <w:pgMar w:top="1418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FCF4A" w14:textId="77777777" w:rsidR="00E27C26" w:rsidRDefault="00E27C26" w:rsidP="008C1E6D">
      <w:pPr>
        <w:spacing w:before="0" w:after="0" w:line="240" w:lineRule="auto"/>
      </w:pPr>
      <w:r>
        <w:separator/>
      </w:r>
    </w:p>
  </w:endnote>
  <w:endnote w:type="continuationSeparator" w:id="0">
    <w:p w14:paraId="098EEEE3" w14:textId="77777777" w:rsidR="00E27C26" w:rsidRDefault="00E27C26" w:rsidP="008C1E6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rlito">
    <w:altName w:val="Browallia New"/>
    <w:panose1 w:val="00000000000000000000"/>
    <w:charset w:val="01"/>
    <w:family w:val="auto"/>
    <w:notTrueType/>
    <w:pitch w:val="default"/>
    <w:sig w:usb0="01010103" w:usb1="01010101" w:usb2="01010101" w:usb3="01010101" w:csb0="01010101" w:csb1="01010101"/>
  </w:font>
  <w:font w:name="DejaVu Sans">
    <w:altName w:val="Browallia New"/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5D58E" w14:textId="77777777" w:rsidR="00E27C26" w:rsidRDefault="00E27C26" w:rsidP="008C1E6D">
      <w:pPr>
        <w:spacing w:before="0" w:after="0" w:line="240" w:lineRule="auto"/>
      </w:pPr>
      <w:r>
        <w:separator/>
      </w:r>
    </w:p>
  </w:footnote>
  <w:footnote w:type="continuationSeparator" w:id="0">
    <w:p w14:paraId="30B275F7" w14:textId="77777777" w:rsidR="00E27C26" w:rsidRDefault="00E27C26" w:rsidP="008C1E6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54E01" w14:textId="7A4FD339" w:rsidR="009D31ED" w:rsidRDefault="008C1E6D" w:rsidP="008C1E6D">
    <w:pPr>
      <w:pStyle w:val="Intestazione"/>
      <w:jc w:val="center"/>
    </w:pPr>
    <w:r>
      <w:rPr>
        <w:b/>
        <w:noProof/>
      </w:rPr>
      <w:drawing>
        <wp:inline distT="0" distB="0" distL="0" distR="0" wp14:anchorId="5881291C" wp14:editId="6E12EAA4">
          <wp:extent cx="2286000" cy="1085850"/>
          <wp:effectExtent l="0" t="0" r="0" b="0"/>
          <wp:docPr id="5" name="Immagine 5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EA9256" w14:textId="77777777" w:rsidR="00741D2E" w:rsidRPr="008C1E6D" w:rsidRDefault="00741D2E" w:rsidP="008C1E6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26F88"/>
    <w:multiLevelType w:val="hybridMultilevel"/>
    <w:tmpl w:val="4EEABF08"/>
    <w:lvl w:ilvl="0" w:tplc="12328F06">
      <w:start w:val="2"/>
      <w:numFmt w:val="bullet"/>
      <w:lvlText w:val="_"/>
      <w:lvlJc w:val="left"/>
      <w:pPr>
        <w:ind w:left="420" w:hanging="360"/>
      </w:pPr>
      <w:rPr>
        <w:rFonts w:ascii="Goudy Old Style" w:eastAsiaTheme="minorEastAsia" w:hAnsi="Goudy Old Style" w:cstheme="minorBidi" w:hint="default"/>
        <w:b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54C5AFD"/>
    <w:multiLevelType w:val="hybridMultilevel"/>
    <w:tmpl w:val="29087DFC"/>
    <w:lvl w:ilvl="0" w:tplc="C3F8B0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48793E"/>
    <w:multiLevelType w:val="multilevel"/>
    <w:tmpl w:val="3942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753264"/>
    <w:multiLevelType w:val="hybridMultilevel"/>
    <w:tmpl w:val="5D96C34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05A98"/>
    <w:multiLevelType w:val="multilevel"/>
    <w:tmpl w:val="663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4649D"/>
    <w:multiLevelType w:val="hybridMultilevel"/>
    <w:tmpl w:val="57D4D672"/>
    <w:lvl w:ilvl="0" w:tplc="3FE0E762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="Carlit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D111B"/>
    <w:multiLevelType w:val="hybridMultilevel"/>
    <w:tmpl w:val="B412B63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8034F2"/>
    <w:multiLevelType w:val="hybridMultilevel"/>
    <w:tmpl w:val="58A2B03E"/>
    <w:lvl w:ilvl="0" w:tplc="C89223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22A7"/>
    <w:multiLevelType w:val="multilevel"/>
    <w:tmpl w:val="4846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DE3EF1"/>
    <w:multiLevelType w:val="hybridMultilevel"/>
    <w:tmpl w:val="D01AF1A6"/>
    <w:lvl w:ilvl="0" w:tplc="51CEBC48">
      <w:start w:val="1"/>
      <w:numFmt w:val="decimal"/>
      <w:lvlText w:val="%1."/>
      <w:lvlJc w:val="left"/>
      <w:pPr>
        <w:ind w:left="720" w:hanging="360"/>
      </w:pPr>
      <w:rPr>
        <w:rFonts w:cs="DejaVu San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4B12"/>
    <w:multiLevelType w:val="multilevel"/>
    <w:tmpl w:val="4A18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0E1218"/>
    <w:multiLevelType w:val="hybridMultilevel"/>
    <w:tmpl w:val="5D96C34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A5F5E"/>
    <w:multiLevelType w:val="hybridMultilevel"/>
    <w:tmpl w:val="5D96C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2A2FBE"/>
    <w:multiLevelType w:val="multilevel"/>
    <w:tmpl w:val="785E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F5F93"/>
    <w:multiLevelType w:val="multilevel"/>
    <w:tmpl w:val="BAB4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325C24"/>
    <w:multiLevelType w:val="multilevel"/>
    <w:tmpl w:val="48E4A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52FDD"/>
    <w:multiLevelType w:val="multilevel"/>
    <w:tmpl w:val="DA2A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0A3069"/>
    <w:multiLevelType w:val="multilevel"/>
    <w:tmpl w:val="B91C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1039174">
    <w:abstractNumId w:val="0"/>
  </w:num>
  <w:num w:numId="2" w16cid:durableId="1853492877">
    <w:abstractNumId w:val="7"/>
  </w:num>
  <w:num w:numId="3" w16cid:durableId="45957933">
    <w:abstractNumId w:val="1"/>
  </w:num>
  <w:num w:numId="4" w16cid:durableId="1155341102">
    <w:abstractNumId w:val="12"/>
  </w:num>
  <w:num w:numId="5" w16cid:durableId="1418550348">
    <w:abstractNumId w:val="6"/>
  </w:num>
  <w:num w:numId="6" w16cid:durableId="154221632">
    <w:abstractNumId w:val="14"/>
  </w:num>
  <w:num w:numId="7" w16cid:durableId="1874296257">
    <w:abstractNumId w:val="9"/>
  </w:num>
  <w:num w:numId="8" w16cid:durableId="1823423652">
    <w:abstractNumId w:val="5"/>
  </w:num>
  <w:num w:numId="9" w16cid:durableId="1273171277">
    <w:abstractNumId w:val="11"/>
  </w:num>
  <w:num w:numId="10" w16cid:durableId="1981299346">
    <w:abstractNumId w:val="3"/>
  </w:num>
  <w:num w:numId="11" w16cid:durableId="480656955">
    <w:abstractNumId w:val="10"/>
  </w:num>
  <w:num w:numId="12" w16cid:durableId="751581926">
    <w:abstractNumId w:val="4"/>
  </w:num>
  <w:num w:numId="13" w16cid:durableId="129906866">
    <w:abstractNumId w:val="16"/>
  </w:num>
  <w:num w:numId="14" w16cid:durableId="1363552819">
    <w:abstractNumId w:val="18"/>
  </w:num>
  <w:num w:numId="15" w16cid:durableId="888104462">
    <w:abstractNumId w:val="13"/>
  </w:num>
  <w:num w:numId="16" w16cid:durableId="90705843">
    <w:abstractNumId w:val="17"/>
  </w:num>
  <w:num w:numId="17" w16cid:durableId="79183608">
    <w:abstractNumId w:val="2"/>
  </w:num>
  <w:num w:numId="18" w16cid:durableId="1869640886">
    <w:abstractNumId w:val="15"/>
  </w:num>
  <w:num w:numId="19" w16cid:durableId="1569209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56"/>
    <w:rsid w:val="00004681"/>
    <w:rsid w:val="00133E95"/>
    <w:rsid w:val="00151795"/>
    <w:rsid w:val="0019328F"/>
    <w:rsid w:val="00215C4F"/>
    <w:rsid w:val="002314CD"/>
    <w:rsid w:val="00241E7B"/>
    <w:rsid w:val="00246181"/>
    <w:rsid w:val="002F05AE"/>
    <w:rsid w:val="00371E78"/>
    <w:rsid w:val="003A2640"/>
    <w:rsid w:val="003A759D"/>
    <w:rsid w:val="003E7B94"/>
    <w:rsid w:val="00454C26"/>
    <w:rsid w:val="00491CB6"/>
    <w:rsid w:val="005A7CE3"/>
    <w:rsid w:val="005C6510"/>
    <w:rsid w:val="005F5D69"/>
    <w:rsid w:val="006E3976"/>
    <w:rsid w:val="00741D2E"/>
    <w:rsid w:val="00745093"/>
    <w:rsid w:val="00792F2B"/>
    <w:rsid w:val="007B3860"/>
    <w:rsid w:val="007F7F58"/>
    <w:rsid w:val="00874980"/>
    <w:rsid w:val="0088289A"/>
    <w:rsid w:val="00882A61"/>
    <w:rsid w:val="00887228"/>
    <w:rsid w:val="008C1E6D"/>
    <w:rsid w:val="0096253C"/>
    <w:rsid w:val="009A1C49"/>
    <w:rsid w:val="009D31ED"/>
    <w:rsid w:val="009E1B7A"/>
    <w:rsid w:val="009F274F"/>
    <w:rsid w:val="00A34D10"/>
    <w:rsid w:val="00A47F02"/>
    <w:rsid w:val="00A71B75"/>
    <w:rsid w:val="00AD50B3"/>
    <w:rsid w:val="00AF425D"/>
    <w:rsid w:val="00C07383"/>
    <w:rsid w:val="00C774FE"/>
    <w:rsid w:val="00C86734"/>
    <w:rsid w:val="00CD00A1"/>
    <w:rsid w:val="00CD3ECB"/>
    <w:rsid w:val="00D1787B"/>
    <w:rsid w:val="00D21BA9"/>
    <w:rsid w:val="00D2756A"/>
    <w:rsid w:val="00D362F9"/>
    <w:rsid w:val="00D70E56"/>
    <w:rsid w:val="00E02232"/>
    <w:rsid w:val="00E27C26"/>
    <w:rsid w:val="00E312A7"/>
    <w:rsid w:val="00E83104"/>
    <w:rsid w:val="00F04161"/>
    <w:rsid w:val="00F26463"/>
    <w:rsid w:val="00F27A4B"/>
    <w:rsid w:val="00F35E54"/>
    <w:rsid w:val="00F8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C4D3"/>
  <w15:docId w15:val="{8AAF5BAC-7D9E-4510-904A-420E82FE7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D70E56"/>
    <w:pPr>
      <w:spacing w:before="120" w:after="240" w:line="278" w:lineRule="auto"/>
      <w:jc w:val="both"/>
    </w:pPr>
    <w:rPr>
      <w:rFonts w:eastAsiaTheme="minorEastAsia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70E56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70E56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0E56"/>
    <w:pPr>
      <w:keepNext/>
      <w:keepLines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sz w:val="28"/>
      <w:szCs w:val="28"/>
      <w:lang w:val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70E56"/>
    <w:pPr>
      <w:keepNext/>
      <w:keepLines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lang w:val="it-IT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70E56"/>
    <w:pPr>
      <w:keepNext/>
      <w:keepLines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lang w:val="it-IT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70E56"/>
    <w:pPr>
      <w:keepNext/>
      <w:keepLines/>
      <w:spacing w:before="40" w:after="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lang w:val="it-IT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70E56"/>
    <w:pPr>
      <w:keepNext/>
      <w:keepLines/>
      <w:spacing w:before="40" w:after="0" w:line="259" w:lineRule="auto"/>
      <w:jc w:val="left"/>
      <w:outlineLvl w:val="6"/>
    </w:pPr>
    <w:rPr>
      <w:rFonts w:eastAsiaTheme="majorEastAsia" w:cstheme="majorBidi"/>
      <w:color w:val="595959" w:themeColor="text1" w:themeTint="A6"/>
      <w:lang w:val="it-IT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70E56"/>
    <w:pPr>
      <w:keepNext/>
      <w:keepLines/>
      <w:spacing w:before="0" w:after="0"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lang w:val="it-IT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70E56"/>
    <w:pPr>
      <w:keepNext/>
      <w:keepLines/>
      <w:spacing w:before="0" w:after="0" w:line="259" w:lineRule="auto"/>
      <w:jc w:val="left"/>
      <w:outlineLvl w:val="8"/>
    </w:pPr>
    <w:rPr>
      <w:rFonts w:eastAsiaTheme="majorEastAsia" w:cstheme="majorBidi"/>
      <w:color w:val="272727" w:themeColor="text1" w:themeTint="D8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0E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70E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0E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70E5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70E5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70E5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70E5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70E5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70E5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70E56"/>
    <w:pPr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D70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70E56"/>
    <w:pPr>
      <w:numPr>
        <w:ilvl w:val="1"/>
      </w:numPr>
      <w:spacing w:before="0"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val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70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70E5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lang w:val="it-IT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70E5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70E56"/>
    <w:pPr>
      <w:spacing w:before="0" w:after="160" w:line="259" w:lineRule="auto"/>
      <w:ind w:left="720"/>
      <w:contextualSpacing/>
      <w:jc w:val="left"/>
    </w:pPr>
    <w:rPr>
      <w:rFonts w:eastAsiaTheme="minorHAnsi"/>
      <w:lang w:val="it-IT"/>
    </w:rPr>
  </w:style>
  <w:style w:type="character" w:styleId="Enfasiintensa">
    <w:name w:val="Intense Emphasis"/>
    <w:basedOn w:val="Carpredefinitoparagrafo"/>
    <w:uiPriority w:val="21"/>
    <w:qFormat/>
    <w:rsid w:val="00D70E5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70E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lang w:val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70E5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70E56"/>
    <w:rPr>
      <w:b/>
      <w:bCs/>
      <w:smallCaps/>
      <w:color w:val="0F4761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D21BA9"/>
    <w:rPr>
      <w:b/>
      <w:bCs/>
    </w:rPr>
  </w:style>
  <w:style w:type="table" w:styleId="Grigliatabella">
    <w:name w:val="Table Grid"/>
    <w:basedOn w:val="Tabellanormale"/>
    <w:uiPriority w:val="39"/>
    <w:rsid w:val="00A71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C1E6D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1E6D"/>
    <w:rPr>
      <w:rFonts w:eastAsiaTheme="minorEastAsia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C1E6D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1E6D"/>
    <w:rPr>
      <w:rFonts w:eastAsiaTheme="minorEastAsia"/>
      <w:lang w:val="en-US"/>
    </w:rPr>
  </w:style>
  <w:style w:type="character" w:styleId="Enfasicorsivo">
    <w:name w:val="Emphasis"/>
    <w:basedOn w:val="Carpredefinitoparagrafo"/>
    <w:uiPriority w:val="20"/>
    <w:qFormat/>
    <w:rsid w:val="005C65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10332-1770-4489-A624-9A30FE90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Rosario</dc:creator>
  <cp:keywords/>
  <dc:description/>
  <cp:lastModifiedBy>Borrelli Antonio</cp:lastModifiedBy>
  <cp:revision>3</cp:revision>
  <dcterms:created xsi:type="dcterms:W3CDTF">2024-11-21T11:36:00Z</dcterms:created>
  <dcterms:modified xsi:type="dcterms:W3CDTF">2024-11-21T11:41:00Z</dcterms:modified>
</cp:coreProperties>
</file>