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EED00" w14:textId="77777777" w:rsidR="0039390B" w:rsidRPr="000C18FC" w:rsidRDefault="0039390B" w:rsidP="0039390B">
      <w:pPr>
        <w:jc w:val="center"/>
        <w:rPr>
          <w:rFonts w:asciiTheme="majorHAnsi" w:hAnsiTheme="majorHAnsi" w:cstheme="majorHAnsi"/>
        </w:rPr>
      </w:pPr>
    </w:p>
    <w:p w14:paraId="0754FF5D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t>Relazione Tecnico-Finanziaria</w:t>
      </w:r>
    </w:p>
    <w:p w14:paraId="62D53566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t>ALLEGATO 1</w:t>
      </w:r>
    </w:p>
    <w:p w14:paraId="286E871D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33421D15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t xml:space="preserve">RELAZIONE TECNICO-FINANZIARIA PROPOSTA O DISEGNO DI </w:t>
      </w:r>
      <w:proofErr w:type="gramStart"/>
      <w:r w:rsidRPr="004D13A4">
        <w:rPr>
          <w:rFonts w:asciiTheme="majorHAnsi" w:hAnsiTheme="majorHAnsi" w:cstheme="majorHAnsi"/>
          <w:b/>
          <w:bCs/>
        </w:rPr>
        <w:t>LEGGE  REGIONALE</w:t>
      </w:r>
      <w:proofErr w:type="gramEnd"/>
      <w:r w:rsidRPr="004D13A4">
        <w:rPr>
          <w:rFonts w:asciiTheme="majorHAnsi" w:hAnsiTheme="majorHAnsi" w:cstheme="majorHAnsi"/>
          <w:b/>
          <w:bCs/>
        </w:rPr>
        <w:t xml:space="preserve"> </w:t>
      </w:r>
    </w:p>
    <w:p w14:paraId="0A62754A" w14:textId="77777777" w:rsidR="009F1353" w:rsidRPr="004D13A4" w:rsidRDefault="009F1353" w:rsidP="009F1353">
      <w:pPr>
        <w:rPr>
          <w:rFonts w:asciiTheme="majorHAnsi" w:hAnsiTheme="majorHAnsi" w:cstheme="majorHAnsi"/>
        </w:rPr>
      </w:pPr>
    </w:p>
    <w:p w14:paraId="7E3A565F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  <w:b/>
        </w:rPr>
        <w:t>PDL/DDL N</w:t>
      </w:r>
      <w:r w:rsidRPr="004D13A4">
        <w:rPr>
          <w:rFonts w:asciiTheme="majorHAnsi" w:hAnsiTheme="majorHAnsi" w:cstheme="majorHAnsi"/>
        </w:rPr>
        <w:t>.</w:t>
      </w:r>
      <w:r w:rsidRPr="004D13A4">
        <w:rPr>
          <w:rFonts w:asciiTheme="majorHAnsi" w:hAnsiTheme="majorHAnsi" w:cstheme="majorHAnsi"/>
          <w:u w:val="single"/>
        </w:rPr>
        <w:t xml:space="preserve"> </w:t>
      </w:r>
      <w:r w:rsidRPr="004D13A4">
        <w:rPr>
          <w:rFonts w:asciiTheme="majorHAnsi" w:hAnsiTheme="majorHAnsi" w:cstheme="majorHAnsi"/>
          <w:u w:val="single"/>
        </w:rPr>
        <w:tab/>
      </w:r>
    </w:p>
    <w:p w14:paraId="1F106716" w14:textId="77777777" w:rsidR="009F1353" w:rsidRPr="004D13A4" w:rsidRDefault="009F1353" w:rsidP="009F1353">
      <w:pPr>
        <w:rPr>
          <w:rFonts w:asciiTheme="majorHAnsi" w:hAnsiTheme="majorHAnsi" w:cstheme="majorHAnsi"/>
          <w:bCs/>
        </w:rPr>
      </w:pPr>
    </w:p>
    <w:p w14:paraId="534F721C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t xml:space="preserve">PRIMO/A FIRMATARIO/A PDL </w:t>
      </w:r>
      <w:proofErr w:type="gramStart"/>
      <w:r w:rsidRPr="004D13A4">
        <w:rPr>
          <w:rFonts w:asciiTheme="majorHAnsi" w:hAnsiTheme="majorHAnsi" w:cstheme="majorHAnsi"/>
          <w:b/>
          <w:bCs/>
        </w:rPr>
        <w:t>GENNARO  /</w:t>
      </w:r>
      <w:proofErr w:type="gramEnd"/>
      <w:r w:rsidRPr="004D13A4">
        <w:rPr>
          <w:rFonts w:asciiTheme="majorHAnsi" w:hAnsiTheme="majorHAnsi" w:cstheme="majorHAnsi"/>
          <w:b/>
          <w:bCs/>
        </w:rPr>
        <w:t xml:space="preserve">  SECONDO FIRMATARIO OLIVIERO LUCA CASCONE </w:t>
      </w:r>
    </w:p>
    <w:p w14:paraId="29D98213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185FEDF1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  <w:b/>
        </w:rPr>
        <w:t xml:space="preserve">TITOLO </w:t>
      </w:r>
      <w:r w:rsidRPr="004D13A4">
        <w:rPr>
          <w:rFonts w:asciiTheme="majorHAnsi" w:hAnsiTheme="majorHAnsi" w:cstheme="majorHAnsi"/>
          <w:b/>
          <w:bCs/>
        </w:rPr>
        <w:t>DISPOSIZIONI PER LA VALORIZZAZIONE E IL RIUSO DELLE EDICOLE STORICHE DISMESSE E LA PROMOZIONE DEI CHIOSCHI MULTIFUNZIONALI"</w:t>
      </w:r>
    </w:p>
    <w:p w14:paraId="333804A1" w14:textId="77777777" w:rsidR="009F1353" w:rsidRPr="004D13A4" w:rsidRDefault="009F1353" w:rsidP="009F1353">
      <w:pPr>
        <w:rPr>
          <w:rFonts w:asciiTheme="majorHAnsi" w:hAnsiTheme="majorHAnsi" w:cstheme="majorHAnsi"/>
        </w:rPr>
      </w:pPr>
    </w:p>
    <w:p w14:paraId="0716524F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t xml:space="preserve"> Specificare se la proposta di legge:</w:t>
      </w:r>
    </w:p>
    <w:p w14:paraId="7E604E8D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FB27DB8" w14:textId="77777777" w:rsidR="009F1353" w:rsidRPr="004D13A4" w:rsidRDefault="009F1353" w:rsidP="009F1353">
      <w:pPr>
        <w:numPr>
          <w:ilvl w:val="0"/>
          <w:numId w:val="50"/>
        </w:num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  <w:b/>
          <w:bCs/>
        </w:rPr>
        <w:t>È priva di effetti finanziari per il bilancio regionale</w:t>
      </w:r>
      <w:r w:rsidRPr="004D13A4">
        <w:rPr>
          <w:rFonts w:asciiTheme="majorHAnsi" w:hAnsiTheme="majorHAnsi" w:cstheme="majorHAnsi"/>
        </w:rPr>
        <w:t xml:space="preserve"> (es. disposizioni esclusivamente ordinamentali). Precisare gli elementi comprovanti l’assenza di oneri.</w:t>
      </w:r>
    </w:p>
    <w:p w14:paraId="0D8DD77C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15906925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 xml:space="preserve">La disposizione normativa introdotta con l’articolo 9-ter del Disegno di legge </w:t>
      </w:r>
      <w:r w:rsidRPr="004D13A4">
        <w:rPr>
          <w:rFonts w:asciiTheme="majorHAnsi" w:hAnsiTheme="majorHAnsi" w:cstheme="majorHAnsi"/>
          <w:i/>
          <w:iCs/>
        </w:rPr>
        <w:t>“Disposizioni in materia di estrazioni dai corsi d’acqua, riqualificazione delle cave e contributi e polizze per attività estrattiva. Modifiche alla legge regionale 54/1985”</w:t>
      </w:r>
      <w:r w:rsidRPr="004D13A4">
        <w:rPr>
          <w:rFonts w:asciiTheme="majorHAnsi" w:hAnsiTheme="majorHAnsi" w:cstheme="majorHAnsi"/>
        </w:rPr>
        <w:t xml:space="preserve"> non comporta nuovi o maggiori oneri a carico del bilancio regionale.</w:t>
      </w:r>
    </w:p>
    <w:p w14:paraId="601E73A7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 xml:space="preserve">Infatti, la norma si limita a stabilire un divieto temporaneo di prosecuzione di nuove attività estrattive nei siti di cava esistenti lungo la dorsale collinare dei Monti Tifatini, già individuati dal vigente PRAE come </w:t>
      </w:r>
      <w:r w:rsidRPr="004D13A4">
        <w:rPr>
          <w:rFonts w:asciiTheme="majorHAnsi" w:hAnsiTheme="majorHAnsi" w:cstheme="majorHAnsi"/>
          <w:i/>
          <w:iCs/>
        </w:rPr>
        <w:t>Aree di Crisi</w:t>
      </w:r>
      <w:r w:rsidRPr="004D13A4">
        <w:rPr>
          <w:rFonts w:asciiTheme="majorHAnsi" w:hAnsiTheme="majorHAnsi" w:cstheme="majorHAnsi"/>
        </w:rPr>
        <w:t xml:space="preserve"> e </w:t>
      </w:r>
      <w:r w:rsidRPr="004D13A4">
        <w:rPr>
          <w:rFonts w:asciiTheme="majorHAnsi" w:hAnsiTheme="majorHAnsi" w:cstheme="majorHAnsi"/>
          <w:i/>
          <w:iCs/>
        </w:rPr>
        <w:t>Zone Altamente Critiche</w:t>
      </w:r>
      <w:r w:rsidRPr="004D13A4">
        <w:rPr>
          <w:rFonts w:asciiTheme="majorHAnsi" w:hAnsiTheme="majorHAnsi" w:cstheme="majorHAnsi"/>
        </w:rPr>
        <w:t>, fino alla definitiva approvazione del nuovo Piano Regionale delle Attività Estrattive.</w:t>
      </w:r>
    </w:p>
    <w:p w14:paraId="0B47A4E3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>L’attuazione del divieto non implica costi aggiuntivi, né determina l’attivazione di procedure o interventi finanziariamente gravosi per la Regione Campania. Al contrario, la disposizione è finalizzata a congelare l’attività autorizzativa in tali aree, in attesa della successiva programmazione pianificatoria, senza introdurre nuovi strumenti operativi, strutture o spese a carico dell’amministrazione regionale.</w:t>
      </w:r>
    </w:p>
    <w:p w14:paraId="568D5C6C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>Le eventuali spese per la futura riqualificazione e riconversione delle cave saranno determinate e disciplinate dal nuovo PRAE e potranno essere oggetto di successivi provvedimenti programmatori e di bilancio, secondo la normativa vigente e in coerenza con le risorse disponibili a livello regionale, nazionale e comunitario.</w:t>
      </w:r>
    </w:p>
    <w:p w14:paraId="081F91C6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>Pertanto, la proposta normativa non comporta effetti finanziari immediati e risulta neutra sotto il profilo della spesa pubblica regionale.</w:t>
      </w:r>
    </w:p>
    <w:p w14:paraId="3E281A0B" w14:textId="77777777" w:rsidR="009F1353" w:rsidRPr="004D13A4" w:rsidRDefault="009F1353" w:rsidP="009F1353">
      <w:pPr>
        <w:rPr>
          <w:rFonts w:asciiTheme="majorHAnsi" w:hAnsiTheme="majorHAnsi" w:cstheme="majorHAnsi"/>
        </w:rPr>
      </w:pPr>
    </w:p>
    <w:p w14:paraId="237BEBEB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>Gennaro Oliviero</w:t>
      </w:r>
    </w:p>
    <w:p w14:paraId="64165AA1" w14:textId="77777777" w:rsidR="009F1353" w:rsidRPr="004D13A4" w:rsidRDefault="009F1353" w:rsidP="009F1353">
      <w:pPr>
        <w:rPr>
          <w:rFonts w:asciiTheme="majorHAnsi" w:hAnsiTheme="majorHAnsi" w:cstheme="majorHAnsi"/>
        </w:rPr>
      </w:pPr>
      <w:r w:rsidRPr="004D13A4">
        <w:rPr>
          <w:rFonts w:asciiTheme="majorHAnsi" w:hAnsiTheme="majorHAnsi" w:cstheme="majorHAnsi"/>
        </w:rPr>
        <w:t>Luca Cascone</w:t>
      </w:r>
    </w:p>
    <w:p w14:paraId="489FBE89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335D64C3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t xml:space="preserve">SEZIONE 1 – CARATTERISTICHE DELLA SPESA </w:t>
      </w:r>
    </w:p>
    <w:p w14:paraId="20EF6243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  <w:i/>
          <w:iCs/>
        </w:rPr>
      </w:pPr>
    </w:p>
    <w:p w14:paraId="1A995A84" w14:textId="77777777" w:rsidR="009F1353" w:rsidRPr="004D13A4" w:rsidRDefault="009F1353" w:rsidP="009F1353">
      <w:pPr>
        <w:rPr>
          <w:rFonts w:asciiTheme="majorHAnsi" w:hAnsiTheme="majorHAnsi" w:cstheme="majorHAnsi"/>
          <w:i/>
          <w:iCs/>
        </w:rPr>
      </w:pPr>
      <w:r w:rsidRPr="004D13A4">
        <w:rPr>
          <w:rFonts w:asciiTheme="majorHAnsi" w:hAnsiTheme="majorHAnsi" w:cstheme="majorHAnsi"/>
          <w:i/>
          <w:iCs/>
        </w:rPr>
        <w:t>Barrare le apposite caselle per fornire le indicazioni richieste</w:t>
      </w:r>
    </w:p>
    <w:p w14:paraId="083239F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9A3F83" wp14:editId="72832E23">
                <wp:simplePos x="0" y="0"/>
                <wp:positionH relativeFrom="column">
                  <wp:posOffset>3975735</wp:posOffset>
                </wp:positionH>
                <wp:positionV relativeFrom="paragraph">
                  <wp:posOffset>136525</wp:posOffset>
                </wp:positionV>
                <wp:extent cx="1485900" cy="619125"/>
                <wp:effectExtent l="0" t="0" r="19050" b="28575"/>
                <wp:wrapNone/>
                <wp:docPr id="536687564" name="Connettore dirit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3B8DE" id="Connettore dirit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05pt,10.75pt" to="430.0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Pr="004D13A4">
        <w:rPr>
          <w:rFonts w:asciiTheme="majorHAnsi" w:hAnsiTheme="majorHAnsi" w:cstheme="majorHAnsi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8DD6FD" wp14:editId="357D67D3">
                <wp:simplePos x="0" y="0"/>
                <wp:positionH relativeFrom="column">
                  <wp:posOffset>3870960</wp:posOffset>
                </wp:positionH>
                <wp:positionV relativeFrom="paragraph">
                  <wp:posOffset>146050</wp:posOffset>
                </wp:positionV>
                <wp:extent cx="1562100" cy="733425"/>
                <wp:effectExtent l="0" t="0" r="19050" b="28575"/>
                <wp:wrapNone/>
                <wp:docPr id="1696463026" name="Connettore dirit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DF949" id="Connettore dirit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8pt,11.5pt" to="427.8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</w:p>
    <w:tbl>
      <w:tblPr>
        <w:tblpPr w:leftFromText="141" w:rightFromText="141" w:vertAnchor="text" w:horzAnchor="margin" w:tblpY="18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06"/>
        <w:gridCol w:w="3416"/>
        <w:gridCol w:w="3400"/>
      </w:tblGrid>
      <w:tr w:rsidR="009F1353" w:rsidRPr="004D13A4" w14:paraId="4A57F186" w14:textId="77777777" w:rsidTr="0087647A">
        <w:trPr>
          <w:trHeight w:val="805"/>
        </w:trPr>
        <w:tc>
          <w:tcPr>
            <w:tcW w:w="1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09E5B10A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>MORFOLOGIA DELLA SPESA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581FB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  <w:p w14:paraId="7318609C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ONERE INDEROGABILE </w:t>
            </w:r>
          </w:p>
        </w:tc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F2621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  <w:p w14:paraId="56A6715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  </w:t>
            </w:r>
            <w:r w:rsidRPr="004D13A4">
              <w:rPr>
                <w:rFonts w:asciiTheme="majorHAnsi" w:hAnsiTheme="majorHAnsi" w:cstheme="majorHAnsi"/>
                <w:lang w:val="en-US"/>
              </w:rPr>
              <w:t xml:space="preserve"> </w:t>
            </w: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FATTORE LEGISLATIVO  </w:t>
            </w:r>
          </w:p>
        </w:tc>
      </w:tr>
      <w:tr w:rsidR="009F1353" w:rsidRPr="004D13A4" w14:paraId="32EE6205" w14:textId="77777777" w:rsidTr="0087647A">
        <w:trPr>
          <w:trHeight w:val="805"/>
        </w:trPr>
        <w:tc>
          <w:tcPr>
            <w:tcW w:w="1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2AD97B5F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>TIPOLOGIA DELLA SPESA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EAF3E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  <w:p w14:paraId="6F75E584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  CORRENTE</w:t>
            </w:r>
            <w:r w:rsidRPr="004D13A4">
              <w:rPr>
                <w:rFonts w:asciiTheme="majorHAnsi" w:hAnsiTheme="majorHAnsi" w:cstheme="majorHAnsi"/>
                <w:b/>
                <w:lang w:val="en-US"/>
              </w:rPr>
              <w:tab/>
            </w:r>
          </w:p>
          <w:p w14:paraId="18F2ECDF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5DA7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  <w:p w14:paraId="564BBF15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    CONTO CAPITALE</w:t>
            </w:r>
          </w:p>
        </w:tc>
      </w:tr>
      <w:tr w:rsidR="009F1353" w:rsidRPr="004D13A4" w14:paraId="41CECE53" w14:textId="77777777" w:rsidTr="0087647A">
        <w:trPr>
          <w:trHeight w:val="594"/>
        </w:trPr>
        <w:tc>
          <w:tcPr>
            <w:tcW w:w="1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7E33280A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>NATURA DELLA SPESA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3F9C1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  ANNUALE</w:t>
            </w:r>
          </w:p>
        </w:tc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106C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4D13A4">
              <w:rPr>
                <w:rFonts w:asciiTheme="majorHAnsi" w:hAnsiTheme="majorHAnsi" w:cstheme="majorHAnsi"/>
                <w:b/>
                <w:lang w:val="en-US"/>
              </w:rPr>
              <w:t xml:space="preserve">    PLURIENNALE</w:t>
            </w:r>
          </w:p>
        </w:tc>
      </w:tr>
    </w:tbl>
    <w:p w14:paraId="35CE168D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3E43F53E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br w:type="page"/>
      </w:r>
    </w:p>
    <w:p w14:paraId="50241314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Theme="majorHAnsi" w:hAnsiTheme="majorHAnsi" w:cstheme="majorHAnsi"/>
          <w:b/>
          <w:bCs/>
        </w:rPr>
        <w:lastRenderedPageBreak/>
        <w:t xml:space="preserve">SEZIONE 2 - INDICAZIONI SULLA PRESENZA DI ONERI FINANZIARI PRESUNTI E RELATIVA QUANTIFICAZIONE </w:t>
      </w:r>
    </w:p>
    <w:p w14:paraId="12FCD204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972"/>
        <w:gridCol w:w="1710"/>
        <w:gridCol w:w="1701"/>
        <w:gridCol w:w="2979"/>
        <w:gridCol w:w="2839"/>
      </w:tblGrid>
      <w:tr w:rsidR="009F1353" w:rsidRPr="004D13A4" w14:paraId="740F193F" w14:textId="77777777" w:rsidTr="0087647A">
        <w:trPr>
          <w:trHeight w:val="883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8119E93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26FD2CF2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ART.</w:t>
            </w:r>
          </w:p>
          <w:p w14:paraId="59B1F496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B0112EF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134018A5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PRESENZA ONERI </w:t>
            </w:r>
          </w:p>
          <w:p w14:paraId="1CFE1FCD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5C16B53E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E33E715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58350F7B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STIMA ONERI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69FCF75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3BE672F4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DATI- CRITERI -METODI UTILIZZATI PER LA QUANTIFICAZIONE DEGLI ONERI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2D4BE01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0689EB28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ELEMENTI IDONEI A COMPROVARE LA NEUTRALITA’ FINANZIARIA DEL PROVVEDIMENTO</w:t>
            </w:r>
          </w:p>
        </w:tc>
      </w:tr>
      <w:tr w:rsidR="009F1353" w:rsidRPr="004D13A4" w14:paraId="2A25BD92" w14:textId="77777777" w:rsidTr="0087647A">
        <w:trPr>
          <w:trHeight w:val="30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7D2D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ART.</w:t>
            </w:r>
            <w:r w:rsidRPr="004D13A4">
              <w:rPr>
                <w:rFonts w:asciiTheme="majorHAnsi" w:hAnsiTheme="majorHAnsi" w:cstheme="majorHAnsi"/>
              </w:rPr>
              <w:br/>
              <w:t>Articolo 9-ter</w:t>
            </w:r>
          </w:p>
          <w:p w14:paraId="31F6E16B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96F2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A0ED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Non applicabile (nessun onere a carico del bilancio regionale).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63DD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La disposizione non introduce nuovi strumenti, procedure o strutture che comportino spese dirette per la Regione. Il contenuto normativo si limita a stabilire un divieto temporaneo di ulteriori attività estrattive nei siti di cava esistenti lungo la dorsale dei Monti Tifatini fino all’approvazione del nuovo PRAE.</w:t>
            </w:r>
          </w:p>
          <w:p w14:paraId="4E82DEDD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AC5D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ELEMENTI IDONEI A COMPROVARE LA NEUTRALITÀ FINANZIARIA DEL PROVVEDIMENTO</w:t>
            </w:r>
          </w:p>
          <w:p w14:paraId="345D2ABA" w14:textId="77777777" w:rsidR="009F1353" w:rsidRPr="004D13A4" w:rsidRDefault="009F1353" w:rsidP="0087647A">
            <w:pPr>
              <w:numPr>
                <w:ilvl w:val="0"/>
                <w:numId w:val="51"/>
              </w:num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La norma è di natura esclusivamente ordinamentale.</w:t>
            </w:r>
          </w:p>
          <w:p w14:paraId="753CEB39" w14:textId="77777777" w:rsidR="009F1353" w:rsidRPr="004D13A4" w:rsidRDefault="009F1353" w:rsidP="0087647A">
            <w:pPr>
              <w:numPr>
                <w:ilvl w:val="0"/>
                <w:numId w:val="51"/>
              </w:num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Non vengono previsti stanziamenti di risorse, né correnti né in conto capitale.</w:t>
            </w:r>
          </w:p>
          <w:p w14:paraId="3D18D8C0" w14:textId="77777777" w:rsidR="009F1353" w:rsidRPr="004D13A4" w:rsidRDefault="009F1353" w:rsidP="0087647A">
            <w:pPr>
              <w:numPr>
                <w:ilvl w:val="0"/>
                <w:numId w:val="51"/>
              </w:num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Non sono introdotti oneri di gestione, né aggravio di spesa per l’Amministrazione regionale.</w:t>
            </w:r>
          </w:p>
          <w:p w14:paraId="7D401F14" w14:textId="77777777" w:rsidR="009F1353" w:rsidRPr="004D13A4" w:rsidRDefault="009F1353" w:rsidP="0087647A">
            <w:pPr>
              <w:numPr>
                <w:ilvl w:val="0"/>
                <w:numId w:val="51"/>
              </w:num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Gli eventuali interventi di riqualificazione delle cave saranno oggetto di successiva disciplina da parte del nuovo PRAE, con risorse già stanziate o da individuare in futuri provvedimenti.</w:t>
            </w:r>
          </w:p>
          <w:p w14:paraId="1FF54099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br w:type="page"/>
            </w:r>
          </w:p>
          <w:p w14:paraId="1EBBEAA7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  <w:tr w:rsidR="009F1353" w:rsidRPr="004D13A4" w14:paraId="41E857C6" w14:textId="77777777" w:rsidTr="0087647A">
        <w:trPr>
          <w:trHeight w:val="123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46A9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113172DA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C42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C7EA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Stanziamento Complessivo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467B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5023BACB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 xml:space="preserve">€ </w:t>
            </w:r>
            <w:r w:rsidRPr="004D13A4">
              <w:rPr>
                <w:rFonts w:asciiTheme="majorHAnsi" w:hAnsiTheme="majorHAnsi" w:cstheme="majorHAnsi"/>
                <w:b/>
                <w:bCs/>
              </w:rPr>
              <w:t>0,00</w:t>
            </w:r>
          </w:p>
          <w:p w14:paraId="05C1DCFC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5DD9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</w:tbl>
    <w:p w14:paraId="097C3035" w14:textId="77777777" w:rsidR="009F1353" w:rsidRPr="004D13A4" w:rsidRDefault="009F1353" w:rsidP="009F1353">
      <w:pPr>
        <w:rPr>
          <w:rFonts w:asciiTheme="majorHAnsi" w:hAnsiTheme="majorHAnsi" w:cstheme="majorHAnsi"/>
        </w:rPr>
      </w:pPr>
    </w:p>
    <w:tbl>
      <w:tblPr>
        <w:tblStyle w:val="Grigliatabella"/>
        <w:tblpPr w:leftFromText="141" w:rightFromText="141" w:vertAnchor="page" w:horzAnchor="margin" w:tblpY="3256"/>
        <w:tblW w:w="0" w:type="auto"/>
        <w:tblLayout w:type="fixed"/>
        <w:tblLook w:val="04A0" w:firstRow="1" w:lastRow="0" w:firstColumn="1" w:lastColumn="0" w:noHBand="0" w:noVBand="1"/>
      </w:tblPr>
      <w:tblGrid>
        <w:gridCol w:w="3098"/>
        <w:gridCol w:w="3098"/>
        <w:gridCol w:w="1612"/>
        <w:gridCol w:w="1486"/>
      </w:tblGrid>
      <w:tr w:rsidR="009F1353" w:rsidRPr="004D13A4" w14:paraId="186A807E" w14:textId="77777777" w:rsidTr="0087647A">
        <w:trPr>
          <w:trHeight w:val="623"/>
        </w:trPr>
        <w:tc>
          <w:tcPr>
            <w:tcW w:w="9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C521C98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ab/>
            </w:r>
          </w:p>
          <w:p w14:paraId="751FEE06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                                            MODALITA’ DI COPERTURA</w:t>
            </w:r>
          </w:p>
          <w:p w14:paraId="64FB514A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F1353" w:rsidRPr="004D13A4" w14:paraId="7ABFD9DC" w14:textId="77777777" w:rsidTr="0087647A">
        <w:trPr>
          <w:trHeight w:val="623"/>
        </w:trPr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017DF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30A565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Missione programma e titolo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45F64C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IMPORTO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069CF2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ANNO</w:t>
            </w:r>
          </w:p>
        </w:tc>
      </w:tr>
      <w:tr w:rsidR="009F1353" w:rsidRPr="004D13A4" w14:paraId="4C6FF9C4" w14:textId="77777777" w:rsidTr="0087647A">
        <w:trPr>
          <w:trHeight w:val="832"/>
        </w:trPr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C6FB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Riduzione di precedenti autorizzazioni legislative di spesa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60FA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2FD6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F67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F1353" w:rsidRPr="004D13A4" w14:paraId="07E3E41E" w14:textId="77777777" w:rsidTr="0087647A">
        <w:trPr>
          <w:trHeight w:val="832"/>
        </w:trPr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DC4AB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Risorse iscritte in fondi speciali 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C69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3D7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D70D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F1353" w:rsidRPr="004D13A4" w14:paraId="7AE70F9E" w14:textId="77777777" w:rsidTr="0087647A">
        <w:trPr>
          <w:trHeight w:val="832"/>
        </w:trPr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16EF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>Risorse derivanti da nuove/maggiori entrate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A5F8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D817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849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F1353" w:rsidRPr="004D13A4" w14:paraId="50DA953F" w14:textId="77777777" w:rsidTr="0087647A">
        <w:trPr>
          <w:trHeight w:val="832"/>
        </w:trPr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1E35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bookmarkStart w:id="0" w:name="_Hlk114819429"/>
          </w:p>
          <w:p w14:paraId="2F4689D5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t xml:space="preserve">Altre modalità 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7B28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9204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537D46D2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</w:rPr>
              <w:t xml:space="preserve">€ </w:t>
            </w:r>
            <w:r w:rsidRPr="004D13A4">
              <w:rPr>
                <w:rFonts w:asciiTheme="majorHAnsi" w:hAnsiTheme="majorHAnsi" w:cstheme="majorHAnsi"/>
                <w:b/>
                <w:bCs/>
              </w:rPr>
              <w:t>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B5F1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bookmarkEnd w:id="0"/>
    <w:p w14:paraId="6C9C82A7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  <w:r w:rsidRPr="004D13A4">
        <w:rPr>
          <w:rFonts w:ascii="Segoe UI Emoji" w:hAnsi="Segoe UI Emoji" w:cs="Segoe UI Emoji"/>
          <w:b/>
          <w:bCs/>
        </w:rPr>
        <w:t>📌</w:t>
      </w:r>
      <w:r w:rsidRPr="004D13A4">
        <w:rPr>
          <w:rFonts w:asciiTheme="majorHAnsi" w:hAnsiTheme="majorHAnsi" w:cstheme="majorHAnsi"/>
          <w:b/>
          <w:bCs/>
        </w:rPr>
        <w:t xml:space="preserve"> Nota esplicativa</w:t>
      </w:r>
      <w:r w:rsidRPr="004D13A4">
        <w:rPr>
          <w:rFonts w:asciiTheme="majorHAnsi" w:hAnsiTheme="majorHAnsi" w:cstheme="majorHAnsi"/>
          <w:b/>
          <w:bCs/>
        </w:rPr>
        <w:br/>
        <w:t>Il provvedimento è privo di effetti finanziari per il bilancio regionale e non richiede coperture. Pertanto, l’importo è fissato a zero euro, a conferma della neutralità finanziaria della disposizione.</w:t>
      </w:r>
    </w:p>
    <w:p w14:paraId="4B4D28AB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6A1E0674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1CEA8448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6BE18676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5F0419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2D105CAD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67C01C2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50042289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9ADC7F9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2ADD6C0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0B85465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12E7771B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54D10CF1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2EA53FD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22A4F3F8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875"/>
      </w:tblGrid>
      <w:tr w:rsidR="009F1353" w:rsidRPr="004D13A4" w14:paraId="314B503E" w14:textId="77777777" w:rsidTr="0087647A">
        <w:tc>
          <w:tcPr>
            <w:tcW w:w="8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29AB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  <w:r w:rsidRPr="004D13A4">
              <w:rPr>
                <w:rFonts w:asciiTheme="majorHAnsi" w:hAnsiTheme="majorHAnsi" w:cstheme="majorHAnsi"/>
                <w:b/>
                <w:bCs/>
              </w:rPr>
              <w:lastRenderedPageBreak/>
              <w:t>SEZIONE 4 - EVENTUALI NOTE IN ORDINE AL CONTESTO FINANZIARIO:</w:t>
            </w:r>
          </w:p>
          <w:p w14:paraId="2BBB3DEB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  <w:p w14:paraId="49432E12" w14:textId="77777777" w:rsidR="009F1353" w:rsidRPr="004D13A4" w:rsidRDefault="009F1353" w:rsidP="0087647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F1353" w:rsidRPr="004D13A4" w14:paraId="559BFE7F" w14:textId="77777777" w:rsidTr="0087647A">
        <w:tc>
          <w:tcPr>
            <w:tcW w:w="8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1CFC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a proposta di legge non comporta effetti finanziari a carico del bilancio regionale.</w:t>
            </w:r>
            <w:r w:rsidRPr="004D13A4">
              <w:rPr>
                <w:rFonts w:asciiTheme="majorHAnsi" w:hAnsiTheme="majorHAnsi" w:cstheme="majorHAnsi"/>
              </w:rPr>
              <w:br/>
              <w:t xml:space="preserve">La disposizione introdotta ha carattere </w:t>
            </w:r>
            <w:r w:rsidRPr="004D13A4">
              <w:rPr>
                <w:rFonts w:asciiTheme="majorHAnsi" w:hAnsiTheme="majorHAnsi" w:cstheme="majorHAnsi"/>
                <w:b/>
                <w:bCs/>
              </w:rPr>
              <w:t>meramente ordinamentale e regolatorio</w:t>
            </w:r>
            <w:r w:rsidRPr="004D13A4">
              <w:rPr>
                <w:rFonts w:asciiTheme="majorHAnsi" w:hAnsiTheme="majorHAnsi" w:cstheme="majorHAnsi"/>
              </w:rPr>
              <w:t xml:space="preserve">, finalizzato a sospendere temporaneamente nuove attività estrattive nelle cave esistenti lungo la dorsale dei Monti Tifatini, già classificate come </w:t>
            </w:r>
            <w:r w:rsidRPr="004D13A4">
              <w:rPr>
                <w:rFonts w:asciiTheme="majorHAnsi" w:hAnsiTheme="majorHAnsi" w:cstheme="majorHAnsi"/>
                <w:i/>
                <w:iCs/>
              </w:rPr>
              <w:t>Aree di Crisi</w:t>
            </w:r>
            <w:r w:rsidRPr="004D13A4">
              <w:rPr>
                <w:rFonts w:asciiTheme="majorHAnsi" w:hAnsiTheme="majorHAnsi" w:cstheme="majorHAnsi"/>
              </w:rPr>
              <w:t xml:space="preserve"> e </w:t>
            </w:r>
            <w:r w:rsidRPr="004D13A4">
              <w:rPr>
                <w:rFonts w:asciiTheme="majorHAnsi" w:hAnsiTheme="majorHAnsi" w:cstheme="majorHAnsi"/>
                <w:i/>
                <w:iCs/>
              </w:rPr>
              <w:t>Zone Altamente Critiche</w:t>
            </w:r>
            <w:r w:rsidRPr="004D13A4">
              <w:rPr>
                <w:rFonts w:asciiTheme="majorHAnsi" w:hAnsiTheme="majorHAnsi" w:cstheme="majorHAnsi"/>
              </w:rPr>
              <w:t xml:space="preserve"> dal vigente PRAE, in attesa della definizione del nuovo Piano Regionale delle Attività Estrattive.</w:t>
            </w:r>
          </w:p>
          <w:p w14:paraId="362ECDCF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>Non si determinano quindi impatti né sul quadro delle spese correnti né su quelle in conto capitale, né si richiede l’individuazione di risorse aggiuntive.</w:t>
            </w:r>
          </w:p>
          <w:p w14:paraId="3C9A4502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  <w:r w:rsidRPr="004D13A4">
              <w:rPr>
                <w:rFonts w:asciiTheme="majorHAnsi" w:hAnsiTheme="majorHAnsi" w:cstheme="majorHAnsi"/>
              </w:rPr>
              <w:t xml:space="preserve">L’eventuale programmazione futura relativa alla </w:t>
            </w:r>
            <w:r w:rsidRPr="004D13A4">
              <w:rPr>
                <w:rFonts w:asciiTheme="majorHAnsi" w:hAnsiTheme="majorHAnsi" w:cstheme="majorHAnsi"/>
                <w:b/>
                <w:bCs/>
              </w:rPr>
              <w:t>riqualificazione dei siti estrattivi</w:t>
            </w:r>
            <w:r w:rsidRPr="004D13A4">
              <w:rPr>
                <w:rFonts w:asciiTheme="majorHAnsi" w:hAnsiTheme="majorHAnsi" w:cstheme="majorHAnsi"/>
              </w:rPr>
              <w:t xml:space="preserve"> sarà oggetto del nuovo PRAE e potrà attingere a risorse già stanziate a legislazione vigente o a fondi nazionali e comunitari dedicati, senza incidere sul presente esercizio di bilancio regionale.</w:t>
            </w:r>
          </w:p>
          <w:p w14:paraId="05562A28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  <w:tr w:rsidR="009F1353" w:rsidRPr="004D13A4" w14:paraId="166C8524" w14:textId="77777777" w:rsidTr="0087647A">
        <w:tc>
          <w:tcPr>
            <w:tcW w:w="8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304B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  <w:tr w:rsidR="009F1353" w:rsidRPr="004D13A4" w14:paraId="150919FE" w14:textId="77777777" w:rsidTr="0087647A">
        <w:tc>
          <w:tcPr>
            <w:tcW w:w="8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6C06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  <w:tr w:rsidR="009F1353" w:rsidRPr="004D13A4" w14:paraId="6AB29210" w14:textId="77777777" w:rsidTr="0087647A">
        <w:tc>
          <w:tcPr>
            <w:tcW w:w="8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E9C3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  <w:tr w:rsidR="009F1353" w:rsidRPr="004D13A4" w14:paraId="40809561" w14:textId="77777777" w:rsidTr="0087647A">
        <w:tc>
          <w:tcPr>
            <w:tcW w:w="8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60CE" w14:textId="77777777" w:rsidR="009F1353" w:rsidRPr="004D13A4" w:rsidRDefault="009F1353" w:rsidP="0087647A">
            <w:pPr>
              <w:rPr>
                <w:rFonts w:asciiTheme="majorHAnsi" w:hAnsiTheme="majorHAnsi" w:cstheme="majorHAnsi"/>
              </w:rPr>
            </w:pPr>
          </w:p>
        </w:tc>
      </w:tr>
    </w:tbl>
    <w:p w14:paraId="1FEF7C36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17CF284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170960E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07398AB4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58AD95B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AC15A36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66AEC7DF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5A369266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A9B2B78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2DDF815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27101D3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45FF017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1F8A86B0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205DC9CF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913C2B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1620FEDC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0ADDE962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E4F1590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3AFB21A9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4F471D0C" w14:textId="7777777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p w14:paraId="7632283A" w14:textId="0BD54D67" w:rsidR="009F1353" w:rsidRPr="004D13A4" w:rsidRDefault="009F1353" w:rsidP="009F1353">
      <w:pPr>
        <w:rPr>
          <w:rFonts w:asciiTheme="majorHAnsi" w:hAnsiTheme="majorHAnsi" w:cstheme="majorHAnsi"/>
          <w:b/>
          <w:bCs/>
        </w:rPr>
      </w:pPr>
    </w:p>
    <w:sectPr w:rsidR="009F1353" w:rsidRPr="004D13A4" w:rsidSect="0047191C">
      <w:headerReference w:type="default" r:id="rId8"/>
      <w:pgSz w:w="11906" w:h="16838"/>
      <w:pgMar w:top="426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48C3C" w14:textId="77777777" w:rsidR="005F26FD" w:rsidRDefault="005F26FD" w:rsidP="00D922F1">
      <w:r>
        <w:separator/>
      </w:r>
    </w:p>
  </w:endnote>
  <w:endnote w:type="continuationSeparator" w:id="0">
    <w:p w14:paraId="32B84C27" w14:textId="77777777" w:rsidR="005F26FD" w:rsidRDefault="005F26FD" w:rsidP="00D9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7AC2E" w14:textId="77777777" w:rsidR="005F26FD" w:rsidRDefault="005F26FD" w:rsidP="00D922F1">
      <w:r>
        <w:separator/>
      </w:r>
    </w:p>
  </w:footnote>
  <w:footnote w:type="continuationSeparator" w:id="0">
    <w:p w14:paraId="25AA1FFC" w14:textId="77777777" w:rsidR="005F26FD" w:rsidRDefault="005F26FD" w:rsidP="00D9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B6576" w14:textId="21901470" w:rsidR="003D68B2" w:rsidRDefault="003D68B2" w:rsidP="00D922F1">
    <w:pPr>
      <w:pStyle w:val="Intestazione"/>
      <w:tabs>
        <w:tab w:val="clear" w:pos="4819"/>
        <w:tab w:val="center" w:pos="9638"/>
      </w:tabs>
      <w:jc w:val="center"/>
    </w:pPr>
    <w:r>
      <w:rPr>
        <w:b/>
        <w:noProof/>
      </w:rPr>
      <w:drawing>
        <wp:inline distT="0" distB="0" distL="0" distR="0" wp14:anchorId="0940755C" wp14:editId="2ADF45A3">
          <wp:extent cx="2286000" cy="1085850"/>
          <wp:effectExtent l="0" t="0" r="0" b="0"/>
          <wp:docPr id="2011135948" name="Immagine 2011135948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D09A1A" w14:textId="17B493C4" w:rsidR="003D68B2" w:rsidRDefault="003D68B2" w:rsidP="0047191C">
    <w:pPr>
      <w:pStyle w:val="Intestazione"/>
      <w:tabs>
        <w:tab w:val="clear" w:pos="4819"/>
        <w:tab w:val="center" w:pos="9638"/>
      </w:tabs>
    </w:pPr>
  </w:p>
  <w:p w14:paraId="05958227" w14:textId="77777777" w:rsidR="003D68B2" w:rsidRDefault="003D68B2" w:rsidP="00DF7655">
    <w:pPr>
      <w:pStyle w:val="Intestazione"/>
      <w:tabs>
        <w:tab w:val="clear" w:pos="4819"/>
        <w:tab w:val="cente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933"/>
    <w:multiLevelType w:val="hybridMultilevel"/>
    <w:tmpl w:val="78D401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85BA9"/>
    <w:multiLevelType w:val="hybridMultilevel"/>
    <w:tmpl w:val="622C8D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66160"/>
    <w:multiLevelType w:val="hybridMultilevel"/>
    <w:tmpl w:val="8954BBC6"/>
    <w:lvl w:ilvl="0" w:tplc="FFFFFFFF">
      <w:start w:val="1"/>
      <w:numFmt w:val="decimal"/>
      <w:lvlText w:val="%1."/>
      <w:lvlJc w:val="left"/>
      <w:pPr>
        <w:ind w:left="2940" w:hanging="360"/>
      </w:pPr>
    </w:lvl>
    <w:lvl w:ilvl="1" w:tplc="FFFFFFFF" w:tentative="1">
      <w:start w:val="1"/>
      <w:numFmt w:val="lowerLetter"/>
      <w:lvlText w:val="%2."/>
      <w:lvlJc w:val="left"/>
      <w:pPr>
        <w:ind w:left="3660" w:hanging="360"/>
      </w:pPr>
    </w:lvl>
    <w:lvl w:ilvl="2" w:tplc="FFFFFFFF" w:tentative="1">
      <w:start w:val="1"/>
      <w:numFmt w:val="lowerRoman"/>
      <w:lvlText w:val="%3."/>
      <w:lvlJc w:val="right"/>
      <w:pPr>
        <w:ind w:left="4380" w:hanging="180"/>
      </w:pPr>
    </w:lvl>
    <w:lvl w:ilvl="3" w:tplc="FFFFFFFF" w:tentative="1">
      <w:start w:val="1"/>
      <w:numFmt w:val="decimal"/>
      <w:lvlText w:val="%4."/>
      <w:lvlJc w:val="left"/>
      <w:pPr>
        <w:ind w:left="5100" w:hanging="360"/>
      </w:pPr>
    </w:lvl>
    <w:lvl w:ilvl="4" w:tplc="FFFFFFFF" w:tentative="1">
      <w:start w:val="1"/>
      <w:numFmt w:val="lowerLetter"/>
      <w:lvlText w:val="%5."/>
      <w:lvlJc w:val="left"/>
      <w:pPr>
        <w:ind w:left="5820" w:hanging="360"/>
      </w:pPr>
    </w:lvl>
    <w:lvl w:ilvl="5" w:tplc="FFFFFFFF" w:tentative="1">
      <w:start w:val="1"/>
      <w:numFmt w:val="lowerRoman"/>
      <w:lvlText w:val="%6."/>
      <w:lvlJc w:val="right"/>
      <w:pPr>
        <w:ind w:left="6540" w:hanging="180"/>
      </w:pPr>
    </w:lvl>
    <w:lvl w:ilvl="6" w:tplc="FFFFFFFF" w:tentative="1">
      <w:start w:val="1"/>
      <w:numFmt w:val="decimal"/>
      <w:lvlText w:val="%7."/>
      <w:lvlJc w:val="left"/>
      <w:pPr>
        <w:ind w:left="7260" w:hanging="360"/>
      </w:pPr>
    </w:lvl>
    <w:lvl w:ilvl="7" w:tplc="FFFFFFFF" w:tentative="1">
      <w:start w:val="1"/>
      <w:numFmt w:val="lowerLetter"/>
      <w:lvlText w:val="%8."/>
      <w:lvlJc w:val="left"/>
      <w:pPr>
        <w:ind w:left="7980" w:hanging="360"/>
      </w:pPr>
    </w:lvl>
    <w:lvl w:ilvl="8" w:tplc="FFFFFFFF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3" w15:restartNumberingAfterBreak="0">
    <w:nsid w:val="15CA0A90"/>
    <w:multiLevelType w:val="hybridMultilevel"/>
    <w:tmpl w:val="E2BCD4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2FF2"/>
    <w:multiLevelType w:val="hybridMultilevel"/>
    <w:tmpl w:val="1C46F0DA"/>
    <w:lvl w:ilvl="0" w:tplc="D1CAABD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B6440"/>
    <w:multiLevelType w:val="hybridMultilevel"/>
    <w:tmpl w:val="50E4B5FE"/>
    <w:lvl w:ilvl="0" w:tplc="ABF6AB12">
      <w:numFmt w:val="bullet"/>
      <w:lvlText w:val="-"/>
      <w:lvlJc w:val="left"/>
      <w:pPr>
        <w:ind w:left="1065" w:hanging="705"/>
      </w:pPr>
      <w:rPr>
        <w:rFonts w:ascii="Goudy Old Style" w:eastAsia="Times New Roman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12F9D"/>
    <w:multiLevelType w:val="hybridMultilevel"/>
    <w:tmpl w:val="8954BBC6"/>
    <w:lvl w:ilvl="0" w:tplc="0410000F">
      <w:start w:val="1"/>
      <w:numFmt w:val="decimal"/>
      <w:lvlText w:val="%1."/>
      <w:lvlJc w:val="left"/>
      <w:pPr>
        <w:ind w:left="2940" w:hanging="360"/>
      </w:pPr>
    </w:lvl>
    <w:lvl w:ilvl="1" w:tplc="04100019" w:tentative="1">
      <w:start w:val="1"/>
      <w:numFmt w:val="lowerLetter"/>
      <w:lvlText w:val="%2."/>
      <w:lvlJc w:val="left"/>
      <w:pPr>
        <w:ind w:left="3660" w:hanging="360"/>
      </w:pPr>
    </w:lvl>
    <w:lvl w:ilvl="2" w:tplc="0410001B" w:tentative="1">
      <w:start w:val="1"/>
      <w:numFmt w:val="lowerRoman"/>
      <w:lvlText w:val="%3."/>
      <w:lvlJc w:val="right"/>
      <w:pPr>
        <w:ind w:left="4380" w:hanging="180"/>
      </w:pPr>
    </w:lvl>
    <w:lvl w:ilvl="3" w:tplc="0410000F" w:tentative="1">
      <w:start w:val="1"/>
      <w:numFmt w:val="decimal"/>
      <w:lvlText w:val="%4."/>
      <w:lvlJc w:val="left"/>
      <w:pPr>
        <w:ind w:left="5100" w:hanging="360"/>
      </w:pPr>
    </w:lvl>
    <w:lvl w:ilvl="4" w:tplc="04100019" w:tentative="1">
      <w:start w:val="1"/>
      <w:numFmt w:val="lowerLetter"/>
      <w:lvlText w:val="%5."/>
      <w:lvlJc w:val="left"/>
      <w:pPr>
        <w:ind w:left="5820" w:hanging="360"/>
      </w:pPr>
    </w:lvl>
    <w:lvl w:ilvl="5" w:tplc="0410001B" w:tentative="1">
      <w:start w:val="1"/>
      <w:numFmt w:val="lowerRoman"/>
      <w:lvlText w:val="%6."/>
      <w:lvlJc w:val="right"/>
      <w:pPr>
        <w:ind w:left="6540" w:hanging="180"/>
      </w:pPr>
    </w:lvl>
    <w:lvl w:ilvl="6" w:tplc="0410000F" w:tentative="1">
      <w:start w:val="1"/>
      <w:numFmt w:val="decimal"/>
      <w:lvlText w:val="%7."/>
      <w:lvlJc w:val="left"/>
      <w:pPr>
        <w:ind w:left="7260" w:hanging="360"/>
      </w:pPr>
    </w:lvl>
    <w:lvl w:ilvl="7" w:tplc="04100019" w:tentative="1">
      <w:start w:val="1"/>
      <w:numFmt w:val="lowerLetter"/>
      <w:lvlText w:val="%8."/>
      <w:lvlJc w:val="left"/>
      <w:pPr>
        <w:ind w:left="7980" w:hanging="360"/>
      </w:pPr>
    </w:lvl>
    <w:lvl w:ilvl="8" w:tplc="0410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7" w15:restartNumberingAfterBreak="0">
    <w:nsid w:val="1A556477"/>
    <w:multiLevelType w:val="hybridMultilevel"/>
    <w:tmpl w:val="F530EF70"/>
    <w:lvl w:ilvl="0" w:tplc="5C048D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327E0"/>
    <w:multiLevelType w:val="hybridMultilevel"/>
    <w:tmpl w:val="897E4B0E"/>
    <w:lvl w:ilvl="0" w:tplc="BE8A2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F19F0"/>
    <w:multiLevelType w:val="hybridMultilevel"/>
    <w:tmpl w:val="A432BA18"/>
    <w:lvl w:ilvl="0" w:tplc="6860AB22">
      <w:start w:val="1"/>
      <w:numFmt w:val="bullet"/>
      <w:lvlText w:val="-"/>
      <w:lvlJc w:val="left"/>
      <w:pPr>
        <w:ind w:left="5039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3948"/>
    <w:multiLevelType w:val="hybridMultilevel"/>
    <w:tmpl w:val="70468FCA"/>
    <w:lvl w:ilvl="0" w:tplc="2FE4A4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34F6F"/>
    <w:multiLevelType w:val="multilevel"/>
    <w:tmpl w:val="44EC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F6282A"/>
    <w:multiLevelType w:val="hybridMultilevel"/>
    <w:tmpl w:val="4F96B6BC"/>
    <w:lvl w:ilvl="0" w:tplc="3DE283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i w:val="0"/>
        <w:color w:val="000000" w:themeColor="text1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94DFD"/>
    <w:multiLevelType w:val="hybridMultilevel"/>
    <w:tmpl w:val="C79A02D4"/>
    <w:lvl w:ilvl="0" w:tplc="EE283BE4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7372D"/>
    <w:multiLevelType w:val="hybridMultilevel"/>
    <w:tmpl w:val="F1DE7D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17A1B"/>
    <w:multiLevelType w:val="hybridMultilevel"/>
    <w:tmpl w:val="CAFA6918"/>
    <w:lvl w:ilvl="0" w:tplc="7B4A33DC">
      <w:start w:val="3"/>
      <w:numFmt w:val="bullet"/>
      <w:lvlText w:val="-"/>
      <w:lvlJc w:val="left"/>
      <w:pPr>
        <w:ind w:left="60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6" w15:restartNumberingAfterBreak="0">
    <w:nsid w:val="29D76047"/>
    <w:multiLevelType w:val="hybridMultilevel"/>
    <w:tmpl w:val="018A8D68"/>
    <w:lvl w:ilvl="0" w:tplc="E8B6420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7532B"/>
    <w:multiLevelType w:val="hybridMultilevel"/>
    <w:tmpl w:val="BA0AB5D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7C58E7"/>
    <w:multiLevelType w:val="hybridMultilevel"/>
    <w:tmpl w:val="D26C0158"/>
    <w:lvl w:ilvl="0" w:tplc="D1CAABD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431F20"/>
    <w:multiLevelType w:val="hybridMultilevel"/>
    <w:tmpl w:val="D2E2E1C0"/>
    <w:lvl w:ilvl="0" w:tplc="68DC2F5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8251A0D"/>
    <w:multiLevelType w:val="hybridMultilevel"/>
    <w:tmpl w:val="3184E546"/>
    <w:lvl w:ilvl="0" w:tplc="D1CAABD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13CFC"/>
    <w:multiLevelType w:val="hybridMultilevel"/>
    <w:tmpl w:val="E87213E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6B3E85"/>
    <w:multiLevelType w:val="hybridMultilevel"/>
    <w:tmpl w:val="5C5818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12BFE"/>
    <w:multiLevelType w:val="multilevel"/>
    <w:tmpl w:val="E04C4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795D3A"/>
    <w:multiLevelType w:val="hybridMultilevel"/>
    <w:tmpl w:val="C7BCECA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781BE5"/>
    <w:multiLevelType w:val="hybridMultilevel"/>
    <w:tmpl w:val="59A447BC"/>
    <w:lvl w:ilvl="0" w:tplc="7E365234">
      <w:start w:val="3"/>
      <w:numFmt w:val="decimal"/>
      <w:lvlText w:val="%1."/>
      <w:lvlJc w:val="left"/>
      <w:pPr>
        <w:ind w:left="502" w:hanging="360"/>
      </w:pPr>
      <w:rPr>
        <w:rFonts w:hint="default"/>
        <w:b/>
        <w:bCs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6CE1857"/>
    <w:multiLevelType w:val="hybridMultilevel"/>
    <w:tmpl w:val="2BC240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36ACF"/>
    <w:multiLevelType w:val="hybridMultilevel"/>
    <w:tmpl w:val="B21EBE48"/>
    <w:lvl w:ilvl="0" w:tplc="04100017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9" w15:restartNumberingAfterBreak="0">
    <w:nsid w:val="4EF97973"/>
    <w:multiLevelType w:val="hybridMultilevel"/>
    <w:tmpl w:val="CB24B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E8027E"/>
    <w:multiLevelType w:val="hybridMultilevel"/>
    <w:tmpl w:val="641012FA"/>
    <w:lvl w:ilvl="0" w:tplc="757CA75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34663E4"/>
    <w:multiLevelType w:val="hybridMultilevel"/>
    <w:tmpl w:val="D748892E"/>
    <w:lvl w:ilvl="0" w:tplc="9D4AD1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4353D4"/>
    <w:multiLevelType w:val="hybridMultilevel"/>
    <w:tmpl w:val="9E2C6A8C"/>
    <w:lvl w:ilvl="0" w:tplc="9000C5FA">
      <w:start w:val="1"/>
      <w:numFmt w:val="decimal"/>
      <w:lvlText w:val="%1."/>
      <w:lvlJc w:val="left"/>
      <w:pPr>
        <w:ind w:left="720" w:hanging="360"/>
      </w:pPr>
      <w:rPr>
        <w:rFonts w:cs="Courier New" w:hint="default"/>
        <w:i w:val="0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2034F2"/>
    <w:multiLevelType w:val="hybridMultilevel"/>
    <w:tmpl w:val="1336619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B33022"/>
    <w:multiLevelType w:val="hybridMultilevel"/>
    <w:tmpl w:val="808A986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128A5"/>
    <w:multiLevelType w:val="multilevel"/>
    <w:tmpl w:val="0B563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2A3C3C"/>
    <w:multiLevelType w:val="hybridMultilevel"/>
    <w:tmpl w:val="07024A84"/>
    <w:lvl w:ilvl="0" w:tplc="4A5E514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FD389F"/>
    <w:multiLevelType w:val="hybridMultilevel"/>
    <w:tmpl w:val="C7BCECA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740A2E"/>
    <w:multiLevelType w:val="hybridMultilevel"/>
    <w:tmpl w:val="BFFE28A8"/>
    <w:lvl w:ilvl="0" w:tplc="1C624CDE">
      <w:numFmt w:val="bullet"/>
      <w:pStyle w:val="ALM40ElencoTrattino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ahoma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ahom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ahom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4DA5246"/>
    <w:multiLevelType w:val="hybridMultilevel"/>
    <w:tmpl w:val="DEACE6C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D245DF"/>
    <w:multiLevelType w:val="hybridMultilevel"/>
    <w:tmpl w:val="58A665E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6143E3"/>
    <w:multiLevelType w:val="hybridMultilevel"/>
    <w:tmpl w:val="9A8C66A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F43ED7"/>
    <w:multiLevelType w:val="hybridMultilevel"/>
    <w:tmpl w:val="CFE8B0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353A19"/>
    <w:multiLevelType w:val="hybridMultilevel"/>
    <w:tmpl w:val="22FEF020"/>
    <w:lvl w:ilvl="0" w:tplc="443C037C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color w:val="555555"/>
        <w:sz w:val="2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465A01"/>
    <w:multiLevelType w:val="hybridMultilevel"/>
    <w:tmpl w:val="4268F106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75EA5B51"/>
    <w:multiLevelType w:val="hybridMultilevel"/>
    <w:tmpl w:val="BE266A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233388">
    <w:abstractNumId w:val="38"/>
  </w:num>
  <w:num w:numId="2" w16cid:durableId="1481651400">
    <w:abstractNumId w:val="9"/>
  </w:num>
  <w:num w:numId="3" w16cid:durableId="881358583">
    <w:abstractNumId w:val="4"/>
  </w:num>
  <w:num w:numId="4" w16cid:durableId="1062949199">
    <w:abstractNumId w:val="30"/>
  </w:num>
  <w:num w:numId="5" w16cid:durableId="1299337060">
    <w:abstractNumId w:val="16"/>
  </w:num>
  <w:num w:numId="6" w16cid:durableId="870335864">
    <w:abstractNumId w:val="10"/>
  </w:num>
  <w:num w:numId="7" w16cid:durableId="1666083855">
    <w:abstractNumId w:val="46"/>
  </w:num>
  <w:num w:numId="8" w16cid:durableId="430587096">
    <w:abstractNumId w:val="13"/>
  </w:num>
  <w:num w:numId="9" w16cid:durableId="1657882892">
    <w:abstractNumId w:val="20"/>
  </w:num>
  <w:num w:numId="10" w16cid:durableId="203951359">
    <w:abstractNumId w:val="29"/>
  </w:num>
  <w:num w:numId="11" w16cid:durableId="267352602">
    <w:abstractNumId w:val="3"/>
  </w:num>
  <w:num w:numId="12" w16cid:durableId="1798406133">
    <w:abstractNumId w:val="21"/>
  </w:num>
  <w:num w:numId="13" w16cid:durableId="1250197046">
    <w:abstractNumId w:val="45"/>
  </w:num>
  <w:num w:numId="14" w16cid:durableId="321082542">
    <w:abstractNumId w:val="34"/>
  </w:num>
  <w:num w:numId="15" w16cid:durableId="1230650437">
    <w:abstractNumId w:val="19"/>
  </w:num>
  <w:num w:numId="16" w16cid:durableId="1845046736">
    <w:abstractNumId w:val="26"/>
  </w:num>
  <w:num w:numId="17" w16cid:durableId="1073043733">
    <w:abstractNumId w:val="41"/>
  </w:num>
  <w:num w:numId="18" w16cid:durableId="2009097725">
    <w:abstractNumId w:val="12"/>
  </w:num>
  <w:num w:numId="19" w16cid:durableId="443771934">
    <w:abstractNumId w:val="42"/>
  </w:num>
  <w:num w:numId="20" w16cid:durableId="1012688730">
    <w:abstractNumId w:val="7"/>
  </w:num>
  <w:num w:numId="21" w16cid:durableId="620192461">
    <w:abstractNumId w:val="27"/>
  </w:num>
  <w:num w:numId="22" w16cid:durableId="961115196">
    <w:abstractNumId w:val="0"/>
  </w:num>
  <w:num w:numId="23" w16cid:durableId="1031220215">
    <w:abstractNumId w:val="8"/>
  </w:num>
  <w:num w:numId="24" w16cid:durableId="1010067059">
    <w:abstractNumId w:val="40"/>
  </w:num>
  <w:num w:numId="25" w16cid:durableId="1159540896">
    <w:abstractNumId w:val="17"/>
  </w:num>
  <w:num w:numId="26" w16cid:durableId="2084525339">
    <w:abstractNumId w:val="43"/>
  </w:num>
  <w:num w:numId="27" w16cid:durableId="209458642">
    <w:abstractNumId w:val="39"/>
  </w:num>
  <w:num w:numId="28" w16cid:durableId="2061785966">
    <w:abstractNumId w:val="32"/>
  </w:num>
  <w:num w:numId="29" w16cid:durableId="1575159922">
    <w:abstractNumId w:val="14"/>
  </w:num>
  <w:num w:numId="30" w16cid:durableId="303391517">
    <w:abstractNumId w:val="6"/>
  </w:num>
  <w:num w:numId="31" w16cid:durableId="1209950159">
    <w:abstractNumId w:val="2"/>
  </w:num>
  <w:num w:numId="32" w16cid:durableId="138619643">
    <w:abstractNumId w:val="44"/>
  </w:num>
  <w:num w:numId="33" w16cid:durableId="794056052">
    <w:abstractNumId w:val="22"/>
  </w:num>
  <w:num w:numId="34" w16cid:durableId="1695501067">
    <w:abstractNumId w:val="47"/>
  </w:num>
  <w:num w:numId="35" w16cid:durableId="1795368067">
    <w:abstractNumId w:val="33"/>
  </w:num>
  <w:num w:numId="36" w16cid:durableId="513954306">
    <w:abstractNumId w:val="18"/>
  </w:num>
  <w:num w:numId="37" w16cid:durableId="608926844">
    <w:abstractNumId w:val="1"/>
  </w:num>
  <w:num w:numId="38" w16cid:durableId="1760177792">
    <w:abstractNumId w:val="15"/>
  </w:num>
  <w:num w:numId="39" w16cid:durableId="562257529">
    <w:abstractNumId w:val="28"/>
  </w:num>
  <w:num w:numId="40" w16cid:durableId="48115408">
    <w:abstractNumId w:val="23"/>
  </w:num>
  <w:num w:numId="41" w16cid:durableId="1122924827">
    <w:abstractNumId w:val="37"/>
  </w:num>
  <w:num w:numId="42" w16cid:durableId="1610619449">
    <w:abstractNumId w:val="5"/>
  </w:num>
  <w:num w:numId="43" w16cid:durableId="1931811258">
    <w:abstractNumId w:val="25"/>
  </w:num>
  <w:num w:numId="44" w16cid:durableId="1409577485">
    <w:abstractNumId w:val="36"/>
  </w:num>
  <w:num w:numId="45" w16cid:durableId="363018355">
    <w:abstractNumId w:val="31"/>
  </w:num>
  <w:num w:numId="46" w16cid:durableId="661348318">
    <w:abstractNumId w:val="24"/>
  </w:num>
  <w:num w:numId="47" w16cid:durableId="623388337">
    <w:abstractNumId w:val="11"/>
  </w:num>
  <w:num w:numId="48" w16cid:durableId="1672755214">
    <w:abstractNumId w:val="35"/>
  </w:num>
  <w:num w:numId="49" w16cid:durableId="936670505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 w16cid:durableId="6462019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94002565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 w16cid:durableId="6836278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62443039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FA"/>
    <w:rsid w:val="000078AE"/>
    <w:rsid w:val="000273D9"/>
    <w:rsid w:val="0005666C"/>
    <w:rsid w:val="000661C9"/>
    <w:rsid w:val="00070B44"/>
    <w:rsid w:val="000733E1"/>
    <w:rsid w:val="00074D10"/>
    <w:rsid w:val="00093074"/>
    <w:rsid w:val="000938B4"/>
    <w:rsid w:val="000C18FC"/>
    <w:rsid w:val="000C797A"/>
    <w:rsid w:val="000D7375"/>
    <w:rsid w:val="000E2551"/>
    <w:rsid w:val="000E6064"/>
    <w:rsid w:val="001075FC"/>
    <w:rsid w:val="00125E3E"/>
    <w:rsid w:val="00126AAE"/>
    <w:rsid w:val="00161EF0"/>
    <w:rsid w:val="001674F0"/>
    <w:rsid w:val="00167C65"/>
    <w:rsid w:val="00182937"/>
    <w:rsid w:val="001961AD"/>
    <w:rsid w:val="001A4878"/>
    <w:rsid w:val="001A5E72"/>
    <w:rsid w:val="001B6ED6"/>
    <w:rsid w:val="001D0216"/>
    <w:rsid w:val="001D266E"/>
    <w:rsid w:val="001D43AC"/>
    <w:rsid w:val="001E52DA"/>
    <w:rsid w:val="001F0751"/>
    <w:rsid w:val="001F14A3"/>
    <w:rsid w:val="001F569C"/>
    <w:rsid w:val="00212907"/>
    <w:rsid w:val="002355F2"/>
    <w:rsid w:val="0023649E"/>
    <w:rsid w:val="00240925"/>
    <w:rsid w:val="00240CB1"/>
    <w:rsid w:val="0024351A"/>
    <w:rsid w:val="00252285"/>
    <w:rsid w:val="002540D0"/>
    <w:rsid w:val="00256764"/>
    <w:rsid w:val="002571C0"/>
    <w:rsid w:val="00295057"/>
    <w:rsid w:val="002A4081"/>
    <w:rsid w:val="002B35A3"/>
    <w:rsid w:val="002D367A"/>
    <w:rsid w:val="002D5F8E"/>
    <w:rsid w:val="002E4140"/>
    <w:rsid w:val="002E51A0"/>
    <w:rsid w:val="003023B2"/>
    <w:rsid w:val="00333046"/>
    <w:rsid w:val="00336F86"/>
    <w:rsid w:val="00345B32"/>
    <w:rsid w:val="00357D6A"/>
    <w:rsid w:val="00372400"/>
    <w:rsid w:val="00376F45"/>
    <w:rsid w:val="0039390B"/>
    <w:rsid w:val="00396D8B"/>
    <w:rsid w:val="00397DD9"/>
    <w:rsid w:val="003A1014"/>
    <w:rsid w:val="003A1FE9"/>
    <w:rsid w:val="003A65B7"/>
    <w:rsid w:val="003D5C1F"/>
    <w:rsid w:val="003D6239"/>
    <w:rsid w:val="003D68B2"/>
    <w:rsid w:val="003D7DD8"/>
    <w:rsid w:val="003E16AA"/>
    <w:rsid w:val="003E3D2B"/>
    <w:rsid w:val="003F2E4E"/>
    <w:rsid w:val="00402ECE"/>
    <w:rsid w:val="00422003"/>
    <w:rsid w:val="00426EB6"/>
    <w:rsid w:val="0047191C"/>
    <w:rsid w:val="00491217"/>
    <w:rsid w:val="00495715"/>
    <w:rsid w:val="00495E8A"/>
    <w:rsid w:val="004A316C"/>
    <w:rsid w:val="004C0898"/>
    <w:rsid w:val="004C59A5"/>
    <w:rsid w:val="004D13A4"/>
    <w:rsid w:val="004E57C5"/>
    <w:rsid w:val="004E59B4"/>
    <w:rsid w:val="004F00C6"/>
    <w:rsid w:val="004F7784"/>
    <w:rsid w:val="00506368"/>
    <w:rsid w:val="00516B4E"/>
    <w:rsid w:val="00517BF7"/>
    <w:rsid w:val="005201A1"/>
    <w:rsid w:val="005226DF"/>
    <w:rsid w:val="00544FD3"/>
    <w:rsid w:val="00571243"/>
    <w:rsid w:val="0059021D"/>
    <w:rsid w:val="00597F8A"/>
    <w:rsid w:val="005B0E0F"/>
    <w:rsid w:val="005C20A6"/>
    <w:rsid w:val="005C4BDB"/>
    <w:rsid w:val="005D5F18"/>
    <w:rsid w:val="005E7393"/>
    <w:rsid w:val="005F26FD"/>
    <w:rsid w:val="005F47F3"/>
    <w:rsid w:val="00607CFD"/>
    <w:rsid w:val="00634BEC"/>
    <w:rsid w:val="00637356"/>
    <w:rsid w:val="00646838"/>
    <w:rsid w:val="006539CA"/>
    <w:rsid w:val="006572B9"/>
    <w:rsid w:val="00673552"/>
    <w:rsid w:val="006B6755"/>
    <w:rsid w:val="006D47A4"/>
    <w:rsid w:val="006E44A5"/>
    <w:rsid w:val="006F5409"/>
    <w:rsid w:val="006F6B22"/>
    <w:rsid w:val="00702506"/>
    <w:rsid w:val="00713606"/>
    <w:rsid w:val="0073091A"/>
    <w:rsid w:val="00734D00"/>
    <w:rsid w:val="00743FBC"/>
    <w:rsid w:val="00750E1F"/>
    <w:rsid w:val="007516D3"/>
    <w:rsid w:val="007835AD"/>
    <w:rsid w:val="007B2642"/>
    <w:rsid w:val="007B3873"/>
    <w:rsid w:val="007C25F4"/>
    <w:rsid w:val="007C6E4A"/>
    <w:rsid w:val="007D3621"/>
    <w:rsid w:val="007F2FD7"/>
    <w:rsid w:val="00814933"/>
    <w:rsid w:val="008A5EB2"/>
    <w:rsid w:val="008B15EB"/>
    <w:rsid w:val="008C1DD6"/>
    <w:rsid w:val="00930FC8"/>
    <w:rsid w:val="0093198F"/>
    <w:rsid w:val="00933C18"/>
    <w:rsid w:val="009437E3"/>
    <w:rsid w:val="00954B89"/>
    <w:rsid w:val="00965545"/>
    <w:rsid w:val="0097407D"/>
    <w:rsid w:val="009747F5"/>
    <w:rsid w:val="009807C8"/>
    <w:rsid w:val="009B3A5B"/>
    <w:rsid w:val="009F1353"/>
    <w:rsid w:val="009F2FFB"/>
    <w:rsid w:val="00A02663"/>
    <w:rsid w:val="00A25131"/>
    <w:rsid w:val="00A36AFD"/>
    <w:rsid w:val="00A5455B"/>
    <w:rsid w:val="00A55F0F"/>
    <w:rsid w:val="00A65BA8"/>
    <w:rsid w:val="00A669A9"/>
    <w:rsid w:val="00A70210"/>
    <w:rsid w:val="00A752FC"/>
    <w:rsid w:val="00A833DC"/>
    <w:rsid w:val="00A87CA8"/>
    <w:rsid w:val="00A94AB8"/>
    <w:rsid w:val="00AB5DAB"/>
    <w:rsid w:val="00AD00D0"/>
    <w:rsid w:val="00AD3BC1"/>
    <w:rsid w:val="00AE51A7"/>
    <w:rsid w:val="00AE6DC3"/>
    <w:rsid w:val="00B06DD0"/>
    <w:rsid w:val="00B253F9"/>
    <w:rsid w:val="00B70271"/>
    <w:rsid w:val="00BB0A35"/>
    <w:rsid w:val="00BB335E"/>
    <w:rsid w:val="00BB79CB"/>
    <w:rsid w:val="00BC4F1F"/>
    <w:rsid w:val="00BE2CFD"/>
    <w:rsid w:val="00BE478D"/>
    <w:rsid w:val="00BF58A7"/>
    <w:rsid w:val="00C3034B"/>
    <w:rsid w:val="00C55AF8"/>
    <w:rsid w:val="00C56204"/>
    <w:rsid w:val="00C56BE0"/>
    <w:rsid w:val="00C779CF"/>
    <w:rsid w:val="00C81342"/>
    <w:rsid w:val="00C8437D"/>
    <w:rsid w:val="00C84405"/>
    <w:rsid w:val="00C8558E"/>
    <w:rsid w:val="00C97A9D"/>
    <w:rsid w:val="00CB2D82"/>
    <w:rsid w:val="00CC73A0"/>
    <w:rsid w:val="00CD2105"/>
    <w:rsid w:val="00D13CDC"/>
    <w:rsid w:val="00D343ED"/>
    <w:rsid w:val="00D43A7B"/>
    <w:rsid w:val="00D707B4"/>
    <w:rsid w:val="00D73319"/>
    <w:rsid w:val="00D77B29"/>
    <w:rsid w:val="00D922F1"/>
    <w:rsid w:val="00DB70FA"/>
    <w:rsid w:val="00DE6274"/>
    <w:rsid w:val="00DF490E"/>
    <w:rsid w:val="00DF7655"/>
    <w:rsid w:val="00E03EEB"/>
    <w:rsid w:val="00E060B9"/>
    <w:rsid w:val="00E138E1"/>
    <w:rsid w:val="00E14347"/>
    <w:rsid w:val="00E215DE"/>
    <w:rsid w:val="00E7400D"/>
    <w:rsid w:val="00E84D41"/>
    <w:rsid w:val="00EB5719"/>
    <w:rsid w:val="00EC5241"/>
    <w:rsid w:val="00ED0BC5"/>
    <w:rsid w:val="00ED52D6"/>
    <w:rsid w:val="00EF644E"/>
    <w:rsid w:val="00F345D8"/>
    <w:rsid w:val="00F37623"/>
    <w:rsid w:val="00F53D2A"/>
    <w:rsid w:val="00F70F90"/>
    <w:rsid w:val="00F74535"/>
    <w:rsid w:val="00F76FDF"/>
    <w:rsid w:val="00F90876"/>
    <w:rsid w:val="00F920B9"/>
    <w:rsid w:val="00F9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4C1A4"/>
  <w15:docId w15:val="{6FE562BB-6600-463C-8B31-E38E05BE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B7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355F2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2355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355F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355F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B70FA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DB70FA"/>
    <w:pPr>
      <w:widowControl w:val="0"/>
      <w:autoSpaceDE w:val="0"/>
      <w:autoSpaceDN w:val="0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DB70FA"/>
    <w:rPr>
      <w:rFonts w:ascii="Times New Roman" w:eastAsia="Times New Roman" w:hAnsi="Times New Roman" w:cs="Times New Roman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B70F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DB70FA"/>
    <w:pPr>
      <w:ind w:left="720"/>
      <w:contextualSpacing/>
    </w:pPr>
  </w:style>
  <w:style w:type="paragraph" w:customStyle="1" w:styleId="ALA10Grassetto">
    <w:name w:val="ALA10_Grassetto"/>
    <w:basedOn w:val="Normale"/>
    <w:link w:val="ALA10GrassettoCarattere"/>
    <w:rsid w:val="009807C8"/>
    <w:pPr>
      <w:jc w:val="both"/>
    </w:pPr>
    <w:rPr>
      <w:rFonts w:ascii="Arial" w:eastAsia="Arial" w:hAnsi="Arial" w:cs="Arial"/>
      <w:b/>
    </w:rPr>
  </w:style>
  <w:style w:type="character" w:customStyle="1" w:styleId="ALA10GrassettoCarattere">
    <w:name w:val="ALA10_Grassetto Carattere"/>
    <w:link w:val="ALA10Grassetto"/>
    <w:rsid w:val="009807C8"/>
    <w:rPr>
      <w:rFonts w:ascii="Arial" w:eastAsia="Arial" w:hAnsi="Arial" w:cs="Arial"/>
      <w:b/>
      <w:sz w:val="24"/>
      <w:szCs w:val="24"/>
      <w:lang w:eastAsia="it-IT"/>
    </w:rPr>
  </w:style>
  <w:style w:type="paragraph" w:customStyle="1" w:styleId="ALM40ElencoTrattino">
    <w:name w:val="ALM40_ElencoTrattino"/>
    <w:basedOn w:val="Normale"/>
    <w:rsid w:val="009807C8"/>
    <w:pPr>
      <w:numPr>
        <w:numId w:val="1"/>
      </w:numPr>
      <w:tabs>
        <w:tab w:val="left" w:pos="1134"/>
      </w:tabs>
      <w:jc w:val="both"/>
    </w:pPr>
    <w:rPr>
      <w:rFonts w:ascii="Arial" w:eastAsia="Arial" w:hAnsi="Arial" w:cs="Arial"/>
    </w:rPr>
  </w:style>
  <w:style w:type="paragraph" w:customStyle="1" w:styleId="legge">
    <w:name w:val="legge"/>
    <w:basedOn w:val="Normale"/>
    <w:rsid w:val="00212907"/>
    <w:pPr>
      <w:spacing w:before="100" w:beforeAutospacing="1" w:after="100" w:afterAutospacing="1"/>
    </w:pPr>
  </w:style>
  <w:style w:type="paragraph" w:customStyle="1" w:styleId="bura">
    <w:name w:val="bura"/>
    <w:basedOn w:val="Normale"/>
    <w:rsid w:val="00212907"/>
    <w:pPr>
      <w:spacing w:before="100" w:beforeAutospacing="1" w:after="100" w:afterAutospacing="1"/>
    </w:pPr>
  </w:style>
  <w:style w:type="paragraph" w:styleId="NormaleWeb">
    <w:name w:val="Normal (Web)"/>
    <w:basedOn w:val="Normale"/>
    <w:uiPriority w:val="99"/>
    <w:unhideWhenUsed/>
    <w:rsid w:val="00212907"/>
    <w:pPr>
      <w:spacing w:before="100" w:beforeAutospacing="1" w:after="100" w:afterAutospacing="1"/>
    </w:pPr>
  </w:style>
  <w:style w:type="paragraph" w:customStyle="1" w:styleId="articolo">
    <w:name w:val="articolo"/>
    <w:basedOn w:val="Normale"/>
    <w:rsid w:val="00212907"/>
    <w:pPr>
      <w:spacing w:before="100" w:beforeAutospacing="1" w:after="100" w:afterAutospacing="1"/>
    </w:pPr>
  </w:style>
  <w:style w:type="paragraph" w:customStyle="1" w:styleId="comma">
    <w:name w:val="comma"/>
    <w:basedOn w:val="Normale"/>
    <w:rsid w:val="00212907"/>
    <w:pPr>
      <w:spacing w:before="100" w:beforeAutospacing="1" w:after="100" w:afterAutospacing="1"/>
    </w:pPr>
  </w:style>
  <w:style w:type="paragraph" w:customStyle="1" w:styleId="lettera">
    <w:name w:val="lettera"/>
    <w:basedOn w:val="Normale"/>
    <w:rsid w:val="00212907"/>
    <w:pPr>
      <w:spacing w:before="100" w:beforeAutospacing="1" w:after="100" w:afterAutospacing="1"/>
    </w:pPr>
  </w:style>
  <w:style w:type="paragraph" w:styleId="Intestazione">
    <w:name w:val="header"/>
    <w:basedOn w:val="Normale"/>
    <w:link w:val="IntestazioneCarattere"/>
    <w:uiPriority w:val="99"/>
    <w:unhideWhenUsed/>
    <w:rsid w:val="00D922F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22F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922F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22F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atext">
    <w:name w:val="atext"/>
    <w:basedOn w:val="Normale"/>
    <w:rsid w:val="00182937"/>
    <w:pPr>
      <w:spacing w:before="100" w:beforeAutospacing="1" w:after="100" w:afterAutospacing="1"/>
    </w:pPr>
  </w:style>
  <w:style w:type="character" w:customStyle="1" w:styleId="ob-unit">
    <w:name w:val="ob-unit"/>
    <w:basedOn w:val="Carpredefinitoparagrafo"/>
    <w:rsid w:val="00182937"/>
  </w:style>
  <w:style w:type="paragraph" w:customStyle="1" w:styleId="list-item">
    <w:name w:val="list-item"/>
    <w:basedOn w:val="Normale"/>
    <w:rsid w:val="00182937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387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3873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39"/>
    <w:rsid w:val="00DF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Normale"/>
    <w:rsid w:val="00333046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2A4081"/>
    <w:rPr>
      <w:b/>
      <w:bCs/>
    </w:rPr>
  </w:style>
  <w:style w:type="paragraph" w:customStyle="1" w:styleId="Default">
    <w:name w:val="Default"/>
    <w:rsid w:val="00BF58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355F2"/>
    <w:pPr>
      <w:spacing w:after="60" w:line="259" w:lineRule="auto"/>
      <w:jc w:val="center"/>
      <w:outlineLvl w:val="1"/>
    </w:pPr>
    <w:rPr>
      <w:rFonts w:ascii="Calibri Light" w:hAnsi="Calibri Ligh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355F2"/>
    <w:rPr>
      <w:rFonts w:ascii="Calibri Light" w:eastAsia="Times New Roman" w:hAnsi="Calibri Light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2355F2"/>
    <w:rPr>
      <w:rFonts w:cs="Times New Roman"/>
      <w:i/>
    </w:rPr>
  </w:style>
  <w:style w:type="character" w:styleId="Titolodellibro">
    <w:name w:val="Book Title"/>
    <w:basedOn w:val="Carpredefinitoparagrafo"/>
    <w:uiPriority w:val="33"/>
    <w:qFormat/>
    <w:rsid w:val="002355F2"/>
    <w:rPr>
      <w:rFonts w:cs="Times New Roman"/>
      <w:b/>
      <w:i/>
      <w:spacing w:val="5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355F2"/>
    <w:pPr>
      <w:spacing w:after="160" w:line="259" w:lineRule="auto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355F2"/>
    <w:rPr>
      <w:rFonts w:ascii="Calibri" w:eastAsia="Times New Roman" w:hAnsi="Calibri" w:cs="Times New Roman"/>
      <w:sz w:val="20"/>
      <w:szCs w:val="20"/>
      <w:lang w:eastAsia="it-IT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355F2"/>
    <w:rPr>
      <w:rFonts w:ascii="Calibri" w:eastAsia="Times New Roman" w:hAnsi="Calibri" w:cs="Times New Roman"/>
      <w:b/>
      <w:bCs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355F2"/>
    <w:rPr>
      <w:b/>
      <w:bCs/>
    </w:rPr>
  </w:style>
  <w:style w:type="paragraph" w:customStyle="1" w:styleId="western">
    <w:name w:val="western"/>
    <w:basedOn w:val="Normale"/>
    <w:rsid w:val="002355F2"/>
    <w:pPr>
      <w:spacing w:before="100" w:beforeAutospacing="1" w:after="100" w:afterAutospacing="1"/>
    </w:pPr>
  </w:style>
  <w:style w:type="paragraph" w:styleId="PreformattatoHTML">
    <w:name w:val="HTML Preformatted"/>
    <w:basedOn w:val="Normale"/>
    <w:link w:val="PreformattatoHTMLCarattere"/>
    <w:uiPriority w:val="99"/>
    <w:unhideWhenUsed/>
    <w:rsid w:val="00235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2355F2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elnum">
    <w:name w:val="el_num"/>
    <w:basedOn w:val="Carpredefinitoparagrafo"/>
    <w:rsid w:val="002355F2"/>
  </w:style>
  <w:style w:type="character" w:customStyle="1" w:styleId="commanum">
    <w:name w:val="comma_num"/>
    <w:basedOn w:val="Carpredefinitoparagrafo"/>
    <w:rsid w:val="00426EB6"/>
  </w:style>
  <w:style w:type="character" w:styleId="Rimandocommento">
    <w:name w:val="annotation reference"/>
    <w:basedOn w:val="Carpredefinitoparagrafo"/>
    <w:uiPriority w:val="99"/>
    <w:semiHidden/>
    <w:unhideWhenUsed/>
    <w:rsid w:val="00F9087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3939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539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2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8022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81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3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48" w:space="15" w:color="F5E5D5"/>
                                    <w:right w:val="none" w:sz="0" w:space="0" w:color="auto"/>
                                  </w:divBdr>
                                  <w:divsChild>
                                    <w:div w:id="98650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91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756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40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757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67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89126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28887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2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33318">
                          <w:marLeft w:val="10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3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8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8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D6A04-B0AD-46EA-B7FD-0AF2D6D67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augusto</dc:creator>
  <cp:keywords/>
  <dc:description/>
  <cp:lastModifiedBy>Augusto Rosario</cp:lastModifiedBy>
  <cp:revision>3</cp:revision>
  <cp:lastPrinted>2025-10-03T11:33:00Z</cp:lastPrinted>
  <dcterms:created xsi:type="dcterms:W3CDTF">2025-10-03T11:59:00Z</dcterms:created>
  <dcterms:modified xsi:type="dcterms:W3CDTF">2025-10-03T11:59:00Z</dcterms:modified>
</cp:coreProperties>
</file>