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0591F" w14:textId="77777777" w:rsidR="00C26803" w:rsidRDefault="00C26803" w:rsidP="00C26803">
      <w:pPr>
        <w:jc w:val="center"/>
        <w:rPr>
          <w:rFonts w:ascii="Times New Roman" w:hAnsi="Times New Roman" w:cs="Times New Roman"/>
        </w:rPr>
      </w:pPr>
    </w:p>
    <w:p w14:paraId="5487D54C" w14:textId="77777777" w:rsidR="00C26803" w:rsidRPr="0089003B" w:rsidRDefault="00C26803" w:rsidP="00C26803">
      <w:pPr>
        <w:jc w:val="center"/>
        <w:rPr>
          <w:rFonts w:ascii="Times New Roman" w:eastAsia="SimSun" w:hAnsi="Times New Roman" w:cs="Times New Roman"/>
          <w:b/>
          <w:smallCaps/>
        </w:rPr>
      </w:pPr>
      <w:r w:rsidRPr="0089003B">
        <w:rPr>
          <w:rFonts w:ascii="Times New Roman" w:eastAsia="SimSun" w:hAnsi="Times New Roman" w:cs="Times New Roman"/>
          <w:b/>
          <w:smallCaps/>
        </w:rPr>
        <w:t>Proposta di legge</w:t>
      </w:r>
    </w:p>
    <w:p w14:paraId="7A0EB90B" w14:textId="77777777" w:rsidR="00C26803" w:rsidRPr="0089003B" w:rsidRDefault="00C26803" w:rsidP="00C26803">
      <w:pPr>
        <w:jc w:val="center"/>
        <w:rPr>
          <w:rFonts w:ascii="Times New Roman" w:eastAsia="SimSun" w:hAnsi="Times New Roman" w:cs="Times New Roman"/>
          <w:b/>
          <w:smallCaps/>
        </w:rPr>
      </w:pPr>
    </w:p>
    <w:p w14:paraId="21DDE58A" w14:textId="77777777" w:rsidR="00C26803" w:rsidRPr="0089003B" w:rsidRDefault="00C26803" w:rsidP="00C26803">
      <w:pPr>
        <w:jc w:val="center"/>
        <w:rPr>
          <w:rFonts w:ascii="Times New Roman" w:eastAsia="SimSun" w:hAnsi="Times New Roman" w:cs="Times New Roman"/>
          <w:b/>
        </w:rPr>
      </w:pPr>
      <w:r w:rsidRPr="0089003B">
        <w:rPr>
          <w:rFonts w:ascii="Times New Roman" w:eastAsia="SimSun" w:hAnsi="Times New Roman" w:cs="Times New Roman"/>
          <w:b/>
          <w:smallCaps/>
        </w:rPr>
        <w:t>“</w:t>
      </w:r>
      <w:r>
        <w:rPr>
          <w:rFonts w:ascii="Times New Roman" w:hAnsi="Times New Roman" w:cs="Times New Roman"/>
          <w:b/>
        </w:rPr>
        <w:t>Agevolazioni fiscali per il sostegno della cultura e la valorizzazione del paesaggio in Campania – Art Bonus</w:t>
      </w:r>
      <w:r w:rsidRPr="0089003B">
        <w:rPr>
          <w:rFonts w:ascii="Times New Roman" w:eastAsia="SimSun" w:hAnsi="Times New Roman" w:cs="Times New Roman"/>
          <w:b/>
        </w:rPr>
        <w:t>”</w:t>
      </w:r>
    </w:p>
    <w:p w14:paraId="58BBB36D" w14:textId="77777777" w:rsidR="00C26803" w:rsidRPr="0089003B" w:rsidRDefault="00C26803" w:rsidP="00C26803">
      <w:pPr>
        <w:jc w:val="center"/>
        <w:rPr>
          <w:rFonts w:ascii="Times New Roman" w:eastAsia="SimSun" w:hAnsi="Times New Roman" w:cs="Times New Roman"/>
          <w:b/>
        </w:rPr>
      </w:pPr>
    </w:p>
    <w:p w14:paraId="33DF43B3" w14:textId="77777777" w:rsidR="00C26803" w:rsidRPr="0089003B" w:rsidRDefault="00C26803" w:rsidP="00C26803">
      <w:pPr>
        <w:jc w:val="center"/>
        <w:rPr>
          <w:rFonts w:ascii="Times New Roman" w:eastAsia="SimSun" w:hAnsi="Times New Roman" w:cs="Times New Roman"/>
          <w:b/>
        </w:rPr>
      </w:pPr>
    </w:p>
    <w:p w14:paraId="17350179" w14:textId="77777777" w:rsidR="00C26803" w:rsidRPr="0089003B" w:rsidRDefault="00C26803" w:rsidP="00C26803">
      <w:pPr>
        <w:jc w:val="center"/>
        <w:rPr>
          <w:rFonts w:ascii="Times New Roman" w:eastAsia="SimSun" w:hAnsi="Times New Roman" w:cs="Times New Roman"/>
          <w:b/>
        </w:rPr>
      </w:pPr>
      <w:r w:rsidRPr="0089003B">
        <w:rPr>
          <w:rFonts w:ascii="Times New Roman" w:eastAsia="SimSun" w:hAnsi="Times New Roman" w:cs="Times New Roman"/>
          <w:b/>
        </w:rPr>
        <w:t xml:space="preserve">A iniziativa del </w:t>
      </w:r>
      <w:r>
        <w:rPr>
          <w:rFonts w:ascii="Times New Roman" w:eastAsia="SimSun" w:hAnsi="Times New Roman" w:cs="Times New Roman"/>
          <w:b/>
        </w:rPr>
        <w:t>Presidente</w:t>
      </w:r>
    </w:p>
    <w:p w14:paraId="67863175" w14:textId="77777777" w:rsidR="00C26803" w:rsidRPr="0089003B" w:rsidRDefault="00C26803" w:rsidP="00C26803">
      <w:pPr>
        <w:jc w:val="center"/>
        <w:rPr>
          <w:rFonts w:ascii="Times New Roman" w:eastAsia="SimSun" w:hAnsi="Times New Roman" w:cs="Times New Roman"/>
          <w:b/>
        </w:rPr>
      </w:pPr>
      <w:r w:rsidRPr="0089003B">
        <w:rPr>
          <w:rFonts w:ascii="Times New Roman" w:eastAsia="SimSun" w:hAnsi="Times New Roman" w:cs="Times New Roman"/>
          <w:b/>
        </w:rPr>
        <w:t>Massimiliano Manfredi</w:t>
      </w:r>
    </w:p>
    <w:p w14:paraId="22243FAE" w14:textId="77777777" w:rsidR="00C26803" w:rsidRPr="0089003B" w:rsidRDefault="00C26803" w:rsidP="00C26803">
      <w:pPr>
        <w:jc w:val="center"/>
        <w:rPr>
          <w:rFonts w:ascii="Times New Roman" w:eastAsia="SimSun" w:hAnsi="Times New Roman" w:cs="Times New Roman"/>
          <w:b/>
        </w:rPr>
      </w:pPr>
    </w:p>
    <w:p w14:paraId="63ABB872" w14:textId="77777777" w:rsidR="00C26803" w:rsidRPr="0089003B" w:rsidRDefault="00C26803" w:rsidP="00C26803">
      <w:pPr>
        <w:jc w:val="center"/>
        <w:rPr>
          <w:rFonts w:ascii="Times New Roman" w:eastAsia="SimSun" w:hAnsi="Times New Roman" w:cs="Times New Roman"/>
          <w:b/>
        </w:rPr>
      </w:pPr>
    </w:p>
    <w:p w14:paraId="4DCFDD22" w14:textId="77777777" w:rsidR="00C26803" w:rsidRPr="0089003B" w:rsidRDefault="00C26803" w:rsidP="00C26803">
      <w:pPr>
        <w:jc w:val="center"/>
        <w:rPr>
          <w:rFonts w:ascii="Times New Roman" w:eastAsia="SimSun" w:hAnsi="Times New Roman" w:cs="Times New Roman"/>
          <w:b/>
        </w:rPr>
      </w:pPr>
    </w:p>
    <w:p w14:paraId="3A633486" w14:textId="77777777" w:rsidR="00C26803" w:rsidRPr="0089003B" w:rsidRDefault="00C26803" w:rsidP="00C26803">
      <w:pPr>
        <w:jc w:val="center"/>
        <w:rPr>
          <w:rFonts w:ascii="Times New Roman" w:eastAsia="SimSun" w:hAnsi="Times New Roman" w:cs="Times New Roman"/>
          <w:b/>
        </w:rPr>
      </w:pPr>
    </w:p>
    <w:p w14:paraId="0AE2C3FC" w14:textId="77777777" w:rsidR="00C26803" w:rsidRPr="0089003B" w:rsidRDefault="00C26803" w:rsidP="00C26803">
      <w:pPr>
        <w:jc w:val="center"/>
        <w:rPr>
          <w:rFonts w:ascii="Times New Roman" w:eastAsia="SimSun" w:hAnsi="Times New Roman" w:cs="Times New Roman"/>
          <w:b/>
        </w:rPr>
      </w:pPr>
    </w:p>
    <w:p w14:paraId="38856314" w14:textId="77777777" w:rsidR="00C26803" w:rsidRPr="0089003B" w:rsidRDefault="00C26803" w:rsidP="00C26803">
      <w:pPr>
        <w:jc w:val="center"/>
        <w:rPr>
          <w:rFonts w:ascii="Times New Roman" w:eastAsia="SimSun" w:hAnsi="Times New Roman" w:cs="Times New Roman"/>
          <w:b/>
        </w:rPr>
      </w:pPr>
    </w:p>
    <w:p w14:paraId="7036C982" w14:textId="77777777" w:rsidR="00C26803" w:rsidRPr="0089003B" w:rsidRDefault="00C26803" w:rsidP="00C26803">
      <w:pPr>
        <w:jc w:val="center"/>
        <w:rPr>
          <w:rFonts w:ascii="Times New Roman" w:eastAsia="SimSun" w:hAnsi="Times New Roman" w:cs="Times New Roman"/>
          <w:b/>
          <w:smallCaps/>
        </w:rPr>
      </w:pPr>
      <w:r w:rsidRPr="0089003B">
        <w:rPr>
          <w:rFonts w:ascii="Times New Roman" w:eastAsia="SimSun" w:hAnsi="Times New Roman" w:cs="Times New Roman"/>
          <w:b/>
          <w:smallCaps/>
        </w:rPr>
        <w:t>Scheda AIR</w:t>
      </w:r>
    </w:p>
    <w:p w14:paraId="00DD78DE" w14:textId="77777777" w:rsidR="00C26803" w:rsidRPr="0089003B" w:rsidRDefault="00C26803" w:rsidP="00C26803">
      <w:pPr>
        <w:jc w:val="center"/>
        <w:rPr>
          <w:rFonts w:ascii="Times New Roman" w:eastAsia="SimSun" w:hAnsi="Times New Roman" w:cs="Times New Roman"/>
          <w:b/>
          <w:smallCaps/>
        </w:rPr>
      </w:pPr>
    </w:p>
    <w:p w14:paraId="4B727AD8" w14:textId="77777777" w:rsidR="00C26803" w:rsidRPr="0089003B" w:rsidRDefault="00C26803" w:rsidP="00C26803">
      <w:pPr>
        <w:jc w:val="center"/>
        <w:rPr>
          <w:rFonts w:ascii="Times New Roman" w:eastAsia="SimSun" w:hAnsi="Times New Roman" w:cs="Times New Roman"/>
          <w:b/>
          <w:smallCaps/>
        </w:rPr>
      </w:pPr>
      <w:r w:rsidRPr="0089003B">
        <w:rPr>
          <w:rFonts w:ascii="Times New Roman" w:eastAsia="SimSun" w:hAnsi="Times New Roman" w:cs="Times New Roman"/>
          <w:b/>
          <w:smallCaps/>
        </w:rPr>
        <w:t>Analisi di Impatto della Regolamentazione</w:t>
      </w:r>
    </w:p>
    <w:p w14:paraId="01DF9208" w14:textId="77777777" w:rsidR="00C26803" w:rsidRPr="0089003B" w:rsidRDefault="00C26803" w:rsidP="00C26803">
      <w:pPr>
        <w:jc w:val="center"/>
        <w:rPr>
          <w:rFonts w:ascii="Times New Roman" w:eastAsia="SimSun" w:hAnsi="Times New Roman" w:cs="Times New Roman"/>
          <w:b/>
          <w:smallCaps/>
        </w:rPr>
      </w:pPr>
    </w:p>
    <w:p w14:paraId="78F1E883" w14:textId="77777777" w:rsidR="00C26803" w:rsidRPr="0089003B" w:rsidRDefault="00C26803" w:rsidP="00C26803">
      <w:pPr>
        <w:jc w:val="center"/>
        <w:rPr>
          <w:rFonts w:ascii="Times New Roman" w:eastAsia="SimSun" w:hAnsi="Times New Roman" w:cs="Times New Roman"/>
          <w:b/>
          <w:smallCaps/>
        </w:rPr>
      </w:pPr>
    </w:p>
    <w:p w14:paraId="7371DEDA" w14:textId="77777777" w:rsidR="00C26803" w:rsidRPr="0089003B" w:rsidRDefault="00C26803" w:rsidP="00C26803">
      <w:pPr>
        <w:rPr>
          <w:rFonts w:ascii="Times New Roman" w:eastAsia="SimSun" w:hAnsi="Times New Roman" w:cs="Times New Roman"/>
          <w:b/>
          <w:smallCaps/>
        </w:rPr>
      </w:pPr>
    </w:p>
    <w:p w14:paraId="727F4C4D" w14:textId="77777777" w:rsidR="00C26803" w:rsidRPr="0089003B" w:rsidRDefault="00C26803" w:rsidP="00C26803">
      <w:pPr>
        <w:jc w:val="center"/>
        <w:rPr>
          <w:rFonts w:ascii="Times New Roman" w:eastAsia="SimSun" w:hAnsi="Times New Roman" w:cs="Times New Roman"/>
          <w:b/>
          <w:smallCaps/>
        </w:rPr>
      </w:pPr>
    </w:p>
    <w:p w14:paraId="189F1099" w14:textId="77777777" w:rsidR="00C26803" w:rsidRPr="0089003B" w:rsidRDefault="00C26803" w:rsidP="00C26803">
      <w:pPr>
        <w:jc w:val="center"/>
        <w:rPr>
          <w:rFonts w:ascii="Times New Roman" w:eastAsia="SimSun" w:hAnsi="Times New Roman" w:cs="Times New Roman"/>
          <w:b/>
          <w:smallCaps/>
        </w:rPr>
      </w:pPr>
    </w:p>
    <w:p w14:paraId="294C8358" w14:textId="77777777" w:rsidR="00C26803" w:rsidRPr="0089003B" w:rsidRDefault="00C26803" w:rsidP="00C26803">
      <w:pPr>
        <w:jc w:val="center"/>
        <w:rPr>
          <w:rFonts w:ascii="Times New Roman" w:eastAsia="SimSun" w:hAnsi="Times New Roman" w:cs="Times New Roman"/>
          <w:b/>
          <w:smallCaps/>
        </w:rPr>
      </w:pPr>
    </w:p>
    <w:p w14:paraId="77577E90" w14:textId="77777777" w:rsidR="00C26803" w:rsidRPr="0089003B" w:rsidRDefault="00C26803" w:rsidP="00C26803">
      <w:pPr>
        <w:jc w:val="center"/>
        <w:rPr>
          <w:rFonts w:ascii="Times New Roman" w:eastAsia="SimSun" w:hAnsi="Times New Roman" w:cs="Times New Roman"/>
          <w:b/>
          <w:smallCaps/>
        </w:rPr>
      </w:pPr>
    </w:p>
    <w:p w14:paraId="729F51F8" w14:textId="77777777" w:rsidR="00C26803" w:rsidRPr="0089003B" w:rsidRDefault="00C26803" w:rsidP="00C26803">
      <w:pPr>
        <w:jc w:val="center"/>
        <w:rPr>
          <w:rFonts w:ascii="Times New Roman" w:eastAsia="SimSun" w:hAnsi="Times New Roman" w:cs="Times New Roman"/>
          <w:b/>
          <w:smallCaps/>
        </w:rPr>
      </w:pPr>
    </w:p>
    <w:p w14:paraId="65189A71" w14:textId="77777777" w:rsidR="00C26803" w:rsidRPr="0089003B" w:rsidRDefault="00C26803" w:rsidP="00C26803">
      <w:pPr>
        <w:jc w:val="center"/>
        <w:rPr>
          <w:rFonts w:ascii="Times New Roman" w:eastAsia="SimSun" w:hAnsi="Times New Roman" w:cs="Times New Roman"/>
          <w:b/>
          <w:smallCaps/>
        </w:rPr>
      </w:pPr>
    </w:p>
    <w:tbl>
      <w:tblPr>
        <w:tblW w:w="1010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1"/>
        <w:gridCol w:w="7249"/>
      </w:tblGrid>
      <w:tr w:rsidR="00C26803" w:rsidRPr="0089003B" w14:paraId="594C2990" w14:textId="77777777" w:rsidTr="005E4FBE">
        <w:trPr>
          <w:trHeight w:val="372"/>
        </w:trPr>
        <w:tc>
          <w:tcPr>
            <w:tcW w:w="2851" w:type="dxa"/>
          </w:tcPr>
          <w:p w14:paraId="0D4BA7CF" w14:textId="77777777" w:rsidR="00C26803" w:rsidRPr="0089003B" w:rsidRDefault="00C26803" w:rsidP="005E4FBE">
            <w:pPr>
              <w:jc w:val="center"/>
              <w:rPr>
                <w:rFonts w:ascii="Times New Roman" w:eastAsia="SimSun" w:hAnsi="Times New Roman" w:cs="Times New Roman"/>
                <w:b/>
                <w:smallCaps/>
              </w:rPr>
            </w:pPr>
            <w:r w:rsidRPr="0089003B">
              <w:rPr>
                <w:rFonts w:ascii="Times New Roman" w:eastAsia="SimSun" w:hAnsi="Times New Roman" w:cs="Times New Roman"/>
                <w:b/>
                <w:smallCaps/>
              </w:rPr>
              <w:lastRenderedPageBreak/>
              <w:t>SEZIONI</w:t>
            </w:r>
          </w:p>
        </w:tc>
        <w:tc>
          <w:tcPr>
            <w:tcW w:w="7249" w:type="dxa"/>
          </w:tcPr>
          <w:p w14:paraId="2A715810" w14:textId="77777777" w:rsidR="00C26803" w:rsidRPr="0089003B" w:rsidRDefault="00C26803" w:rsidP="005E4FBE">
            <w:pPr>
              <w:jc w:val="center"/>
              <w:rPr>
                <w:rFonts w:ascii="Times New Roman" w:eastAsia="SimSun" w:hAnsi="Times New Roman" w:cs="Times New Roman"/>
                <w:b/>
                <w:smallCaps/>
              </w:rPr>
            </w:pPr>
            <w:r w:rsidRPr="0089003B">
              <w:rPr>
                <w:rFonts w:ascii="Times New Roman" w:eastAsia="SimSun" w:hAnsi="Times New Roman" w:cs="Times New Roman"/>
                <w:b/>
                <w:smallCaps/>
              </w:rPr>
              <w:t>CONTENUTI</w:t>
            </w:r>
          </w:p>
        </w:tc>
      </w:tr>
      <w:tr w:rsidR="00C26803" w:rsidRPr="0089003B" w14:paraId="1F84F370" w14:textId="77777777" w:rsidTr="005E4FBE">
        <w:trPr>
          <w:trHeight w:val="3314"/>
        </w:trPr>
        <w:tc>
          <w:tcPr>
            <w:tcW w:w="2851" w:type="dxa"/>
          </w:tcPr>
          <w:p w14:paraId="59E36BA7"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1 -</w:t>
            </w:r>
          </w:p>
          <w:p w14:paraId="04A5C68E"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Contesto e obiettivi dell’intervento di regolamentazione</w:t>
            </w:r>
          </w:p>
        </w:tc>
        <w:tc>
          <w:tcPr>
            <w:tcW w:w="7249" w:type="dxa"/>
          </w:tcPr>
          <w:p w14:paraId="66BEE3BD"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a) Rappresentazione del problema da risolvere e delle criticità constatate, anche con riferimento al contesto internazionale ed europeo, nonché delle esigenze sociali ed economiche considerate</w:t>
            </w:r>
          </w:p>
          <w:p w14:paraId="4433C5AB"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L’iniziativa legislativa muove dall’esigenza di rafforzare gli strumenti di finanziamento e valorizzazione del patrimonio culturale e del paesaggio regionale, in un contesto caratterizzato da risorse pubbliche limitate e da una persistente difficoltà nel garantire adeguati livelli di manutenzione, tutela e fruizione dei beni culturali.</w:t>
            </w:r>
          </w:p>
          <w:p w14:paraId="1132FC34"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Nonostante l’introduzione, a livello statale, dell’Art Bonus quale misura di incentivo al mecenatismo culturale, permangono criticità legate alla distribuzione territoriale delle erogazioni liberali, nonché alla limitata capacità di attivazione del tessuto economico locale in contesti regionali con minore attrattività per gli investimenti privati.</w:t>
            </w:r>
          </w:p>
          <w:p w14:paraId="6C020A84"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In tale quadro, emerge l’esigenza di un intervento regionale volto a rafforzare e integrare gli strumenti esistenti, al fine di favorire una maggiore partecipazione di imprese e soggetti economici locali al finanziamento della cultura e del paesaggio, nonché di orientare le risorse verso interventi coerenti con le priorità di sviluppo territoriale.</w:t>
            </w:r>
          </w:p>
          <w:p w14:paraId="255A4990"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L’iniziativa risponde, altresì, a esigenze di natura economica e sociale, connesse alla valorizzazione del patrimonio culturale quale leva strategica per lo sviluppo sostenibile, la crescita dell’occupazione qualificata e il rafforzamento della competitività del territorio regionale, anche in linea con gli indirizzi europei che riconoscono alla cultura un ruolo centrale nei processi di sviluppo economico e coesione territoriale.</w:t>
            </w:r>
          </w:p>
          <w:p w14:paraId="13C4EA76" w14:textId="77777777" w:rsidR="00C26803" w:rsidRPr="0089003B" w:rsidRDefault="00C26803" w:rsidP="005E4FBE">
            <w:pPr>
              <w:jc w:val="both"/>
              <w:rPr>
                <w:rFonts w:ascii="Times New Roman" w:eastAsia="SimSun" w:hAnsi="Times New Roman" w:cs="Times New Roman"/>
              </w:rPr>
            </w:pPr>
          </w:p>
          <w:p w14:paraId="04637FD8"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b) Indicazione degli obiettivi perseguiti con l’intervento normativo</w:t>
            </w:r>
          </w:p>
          <w:p w14:paraId="782C462D"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La proposta di legge interviene con l’obiettivo di rafforzare in modo strutturale il sistema di sostegno alla cultura e alla valorizzazione del paesaggio a livello regionale, attraverso l’introduzione di misure fiscali che incentivino il contributo dei soggetti privati. In particolare, l’intervento è finalizzato a:</w:t>
            </w:r>
          </w:p>
          <w:p w14:paraId="558D1BD7"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a) integrare e potenziare l’efficacia dell’Art Bonus nazionale, in un’ottica di complementarità tra livello statale e regionale;</w:t>
            </w:r>
          </w:p>
          <w:p w14:paraId="2171EBBD"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lastRenderedPageBreak/>
              <w:t>b) favorire il coinvolgimento attivo di imprese, enti e operatori economici nel finanziamento della cultura e del paesaggio, promuovendo forme di mecenatismo diffuso;</w:t>
            </w:r>
          </w:p>
          <w:p w14:paraId="2A6D62F7"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c) orientare le erogazioni liberali verso interventi coerenti con le priorità di sviluppo territoriale, in particolare nei settori della valorizzazione del patrimonio culturale e paesaggistico;</w:t>
            </w:r>
          </w:p>
          <w:p w14:paraId="417A6523"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d) sostenere la crescita economica e l’occupazione qualificata, valorizzando la cultura quale leva strategica di sviluppo e competitività del territorio regionale;</w:t>
            </w:r>
          </w:p>
          <w:p w14:paraId="0F86CD87"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e) rafforzare l’attrattività del territorio campano, migliorando l’offerta culturale e la fruibilità del patrimonio esistente;</w:t>
            </w:r>
          </w:p>
          <w:p w14:paraId="41877767"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f) promuovere una maggiore integrazione tra risorse pubbliche e private, favorendo sinergie tra politiche regionali, strumenti di programmazione europea e iniziative locali;</w:t>
            </w:r>
          </w:p>
          <w:p w14:paraId="04FC8F93"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g) garantire un utilizzo efficiente, trasparente e monitorabile delle risorse, attraverso meccanismi di controllo e valutazione degli interventi finanziati;</w:t>
            </w:r>
          </w:p>
          <w:p w14:paraId="681CB61E"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h) contribuire alla riduzione dei divari territoriali interni, sostenendo interventi anche in aree caratterizzate da minore capacità di attrazione di investimenti privati;</w:t>
            </w:r>
          </w:p>
          <w:p w14:paraId="3083942F"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i) sviluppare un sistema regionale organico di incentivazione fiscale alla cultura, capace di consolidare nel tempo il ruolo della Regione quale promotore di politiche innovative di valorizzazione del patrimonio.</w:t>
            </w:r>
          </w:p>
          <w:p w14:paraId="42D8AF82" w14:textId="77777777" w:rsidR="00C26803" w:rsidRPr="0089003B" w:rsidRDefault="00C26803" w:rsidP="005E4FBE">
            <w:pPr>
              <w:jc w:val="both"/>
              <w:rPr>
                <w:rFonts w:ascii="Times New Roman" w:eastAsia="SimSun" w:hAnsi="Times New Roman" w:cs="Times New Roman"/>
              </w:rPr>
            </w:pPr>
          </w:p>
          <w:p w14:paraId="0DD1DF4D"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c) Descrizione degli indicatori che consentono di verificare il grado di raggiungimento degli obiettivi indicati e di monitorare l’attuazione dell’intervento nell’ambito della VIR</w:t>
            </w:r>
          </w:p>
          <w:p w14:paraId="477054FB"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Gli indicatori dell’efficacia dell’intervento sono rappresentati:</w:t>
            </w:r>
          </w:p>
          <w:p w14:paraId="3B78EA04"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w:t>
            </w:r>
            <w:r>
              <w:rPr>
                <w:rFonts w:ascii="Times New Roman" w:eastAsia="SimSun" w:hAnsi="Times New Roman" w:cs="Times New Roman"/>
              </w:rPr>
              <w:t xml:space="preserve"> </w:t>
            </w:r>
            <w:r w:rsidRPr="000F194D">
              <w:rPr>
                <w:rFonts w:ascii="Times New Roman" w:eastAsia="SimSun" w:hAnsi="Times New Roman" w:cs="Times New Roman"/>
              </w:rPr>
              <w:t>dall’ammontare complessivo delle erogazioni liberali attivate a favore dei progetti finanziati;</w:t>
            </w:r>
          </w:p>
          <w:p w14:paraId="28B66436"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dal numero di soggetti beneficiari delle agevolazioni fiscali e dalla loro distribuzione territoriale;</w:t>
            </w:r>
          </w:p>
          <w:p w14:paraId="782F2D67"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lastRenderedPageBreak/>
              <w:t xml:space="preserve">- </w:t>
            </w:r>
            <w:r w:rsidRPr="000F194D">
              <w:rPr>
                <w:rFonts w:ascii="Times New Roman" w:eastAsia="SimSun" w:hAnsi="Times New Roman" w:cs="Times New Roman"/>
              </w:rPr>
              <w:t>dal numero e dalla tipologia dei progetti finanziati, con particolare riferimento alla loro coerenza con le priorità regionali in materia culturale e paesaggistica;</w:t>
            </w:r>
          </w:p>
          <w:p w14:paraId="44EDB4B0"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dal livello di partecipazione dei soggetti economici regionali (imprese, enti e fondazioni) alle misure di incentivazione;</w:t>
            </w:r>
          </w:p>
          <w:p w14:paraId="6E39AFE8"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dall’impatto economico generato in termini di investimenti attivati, anche in relazione all’effetto moltiplicatore delle risorse pubbliche e private;</w:t>
            </w:r>
          </w:p>
          <w:p w14:paraId="361E4DAB"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dall’andamento delle minori entrate derivanti dal credito d’imposta, in rapporto alle risorse complessivamente mobilitate;</w:t>
            </w:r>
          </w:p>
          <w:p w14:paraId="439672A9"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dallo stato di attuazione dei progetti finanziati e dal grado di completamento degli interventi;</w:t>
            </w:r>
          </w:p>
          <w:p w14:paraId="7DB9998E" w14:textId="77777777" w:rsidR="00C26803"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dalla capacità della misura di contribuire al miglioramento dell’offerta culturale e alla valorizzazione del patrimonio regionale.</w:t>
            </w:r>
          </w:p>
          <w:p w14:paraId="5444C675" w14:textId="77777777" w:rsidR="00C26803" w:rsidRPr="0089003B" w:rsidRDefault="00C26803" w:rsidP="005E4FBE">
            <w:pPr>
              <w:jc w:val="both"/>
              <w:rPr>
                <w:rFonts w:ascii="Times New Roman" w:eastAsia="SimSun" w:hAnsi="Times New Roman" w:cs="Times New Roman"/>
              </w:rPr>
            </w:pPr>
          </w:p>
          <w:p w14:paraId="6D7E69AB"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d) Indicazione delle categorie di soggetti, pubblici e privati, destinatari dei principali effetti dell’intervento regolatorio</w:t>
            </w:r>
          </w:p>
          <w:p w14:paraId="25A8A5EE"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I destinatari della proposta sono:</w:t>
            </w:r>
          </w:p>
          <w:p w14:paraId="51F26903" w14:textId="77777777" w:rsidR="00C26803" w:rsidRPr="000F194D" w:rsidRDefault="00C26803" w:rsidP="005E4FBE">
            <w:pPr>
              <w:jc w:val="both"/>
              <w:rPr>
                <w:rFonts w:ascii="Times New Roman" w:eastAsia="SimSun" w:hAnsi="Times New Roman" w:cs="Times New Roman"/>
              </w:rPr>
            </w:pPr>
            <w:r w:rsidRPr="000F194D">
              <w:rPr>
                <w:rFonts w:ascii="Times New Roman" w:eastAsia="SimSun" w:hAnsi="Times New Roman" w:cs="Times New Roman"/>
              </w:rPr>
              <w:t>-</w:t>
            </w:r>
            <w:r>
              <w:rPr>
                <w:rFonts w:ascii="Times New Roman" w:eastAsia="SimSun" w:hAnsi="Times New Roman" w:cs="Times New Roman"/>
              </w:rPr>
              <w:t xml:space="preserve"> </w:t>
            </w:r>
            <w:r w:rsidRPr="000F194D">
              <w:rPr>
                <w:rFonts w:ascii="Times New Roman" w:eastAsia="SimSun" w:hAnsi="Times New Roman" w:cs="Times New Roman"/>
              </w:rPr>
              <w:t>le imprese e gli altri soggetti titolari di reddito d’impresa, nonché i professionisti e gli enti assoggettati all’imposta regionale sulle attività produttive (IRAP), che possono beneficiare del credito d’imposta a fronte delle erogazioni liberali effettuate;</w:t>
            </w:r>
          </w:p>
          <w:p w14:paraId="5BB371DA"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i soggetti pubblici e privati senza scopo di lucro operanti nel territorio regionale, inclusi enti del Terzo settore, fondazioni, associazioni ed enti ecclesiastici, che promuovono progetti di valorizzazione del patrimonio culturale e del paesaggio e risultano destinatari delle erogazioni liberali;</w:t>
            </w:r>
          </w:p>
          <w:p w14:paraId="0E23A944"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gli enti e le istituzioni culturali e paesaggistiche, nonché i soggetti beneficiari degli interventi riconducibili all’Art Bonus statale, operanti sul territorio regionale;</w:t>
            </w:r>
          </w:p>
          <w:p w14:paraId="09214CDB" w14:textId="77777777" w:rsidR="00C26803" w:rsidRPr="000F194D" w:rsidRDefault="00C26803" w:rsidP="005E4FBE">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le amministrazioni regionali e gli enti locali coinvolti nella programmazione, attuazione e monitoraggio degli interventi finanziati;</w:t>
            </w:r>
          </w:p>
          <w:p w14:paraId="2ECA3CA3" w14:textId="34E99013" w:rsidR="00C26803" w:rsidRPr="0089003B" w:rsidRDefault="00C26803" w:rsidP="00F767D6">
            <w:pPr>
              <w:jc w:val="both"/>
              <w:rPr>
                <w:rFonts w:ascii="Times New Roman" w:eastAsia="SimSun" w:hAnsi="Times New Roman" w:cs="Times New Roman"/>
              </w:rPr>
            </w:pPr>
            <w:r>
              <w:rPr>
                <w:rFonts w:ascii="Times New Roman" w:eastAsia="SimSun" w:hAnsi="Times New Roman" w:cs="Times New Roman"/>
              </w:rPr>
              <w:t xml:space="preserve">- </w:t>
            </w:r>
            <w:r w:rsidRPr="000F194D">
              <w:rPr>
                <w:rFonts w:ascii="Times New Roman" w:eastAsia="SimSun" w:hAnsi="Times New Roman" w:cs="Times New Roman"/>
              </w:rPr>
              <w:t>la collettività regionale, quale beneficiaria indiretta degli effetti dell’intervento, in termini di miglioramento dell’offerta culturale, valorizzazione del patrimonio e sviluppo economico e occupazionale.</w:t>
            </w:r>
          </w:p>
        </w:tc>
      </w:tr>
      <w:tr w:rsidR="00C26803" w:rsidRPr="0089003B" w14:paraId="095E836F" w14:textId="77777777" w:rsidTr="005E4FBE">
        <w:trPr>
          <w:trHeight w:val="480"/>
        </w:trPr>
        <w:tc>
          <w:tcPr>
            <w:tcW w:w="2851" w:type="dxa"/>
          </w:tcPr>
          <w:p w14:paraId="4A7BC855"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2 -</w:t>
            </w:r>
          </w:p>
          <w:p w14:paraId="09C14B03"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Procedure di consultazione precedenti l’intervento</w:t>
            </w:r>
          </w:p>
          <w:p w14:paraId="5767554E" w14:textId="77777777" w:rsidR="00C26803" w:rsidRPr="0089003B" w:rsidRDefault="00C26803" w:rsidP="005E4FBE">
            <w:pPr>
              <w:jc w:val="center"/>
              <w:rPr>
                <w:rFonts w:ascii="Times New Roman" w:eastAsia="SimSun" w:hAnsi="Times New Roman" w:cs="Times New Roman"/>
                <w:b/>
              </w:rPr>
            </w:pPr>
          </w:p>
        </w:tc>
        <w:tc>
          <w:tcPr>
            <w:tcW w:w="7249" w:type="dxa"/>
          </w:tcPr>
          <w:p w14:paraId="3240796A"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Conformemente all’articolo 88 del Reg. r. 11 settembre 2012, n. 57 (Nuovo Regolamento interno per il Consiglio), che promuove idonee forme di consultazione come strumento di miglioramento della qualità normativa, la presente proposta di legge nasce dal confronto con le diverse realtà coinvolte dall’intervento normativo.</w:t>
            </w:r>
          </w:p>
          <w:p w14:paraId="6E7E9672"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Invero, l’elaborazione del progetto ha seguito un percorso di riflessione che si è avvalso, da un lato, della comparazione con l’esperienza delle altre Regioni che hanno adottato</w:t>
            </w:r>
            <w:r>
              <w:rPr>
                <w:rFonts w:ascii="Times New Roman" w:eastAsia="SimSun" w:hAnsi="Times New Roman" w:cs="Times New Roman"/>
              </w:rPr>
              <w:t xml:space="preserve"> disposizioni normative in materia di Art Bonus.</w:t>
            </w:r>
            <w:r w:rsidRPr="0089003B">
              <w:rPr>
                <w:rFonts w:ascii="Times New Roman" w:eastAsia="SimSun" w:hAnsi="Times New Roman" w:cs="Times New Roman"/>
              </w:rPr>
              <w:t xml:space="preserve"> Dall’altro, è stato decisivo l’apporto fornito dall’ascolto dei diversi soggetti già operativi sul territorio.</w:t>
            </w:r>
          </w:p>
        </w:tc>
      </w:tr>
      <w:tr w:rsidR="00C26803" w:rsidRPr="0089003B" w14:paraId="5245FD30" w14:textId="77777777" w:rsidTr="005E4FBE">
        <w:trPr>
          <w:trHeight w:val="560"/>
        </w:trPr>
        <w:tc>
          <w:tcPr>
            <w:tcW w:w="2851" w:type="dxa"/>
          </w:tcPr>
          <w:p w14:paraId="09E50215"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3 -</w:t>
            </w:r>
          </w:p>
          <w:p w14:paraId="318DA16B"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Valutazione dell’opzione di non intervento di regolamentazione (opzione zero)</w:t>
            </w:r>
          </w:p>
        </w:tc>
        <w:tc>
          <w:tcPr>
            <w:tcW w:w="7249" w:type="dxa"/>
          </w:tcPr>
          <w:p w14:paraId="21764BC8"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L’opzione zero è stata valutata come non percorribile in quanto il mancato intervento di regolamentazione non sarebbe in grado di fornire una risposta adeguata alle criticità e agli obiettivi evidenziati nella Sezione 1.</w:t>
            </w:r>
          </w:p>
        </w:tc>
      </w:tr>
      <w:tr w:rsidR="00C26803" w:rsidRPr="0089003B" w14:paraId="7C2777CD" w14:textId="77777777" w:rsidTr="005E4FBE">
        <w:trPr>
          <w:trHeight w:val="870"/>
        </w:trPr>
        <w:tc>
          <w:tcPr>
            <w:tcW w:w="2851" w:type="dxa"/>
          </w:tcPr>
          <w:p w14:paraId="620F09DB"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4 -</w:t>
            </w:r>
          </w:p>
          <w:p w14:paraId="75F9F437" w14:textId="77777777" w:rsidR="00C26803" w:rsidRPr="0089003B" w:rsidRDefault="00C26803" w:rsidP="005E4FBE">
            <w:pPr>
              <w:jc w:val="center"/>
              <w:rPr>
                <w:rFonts w:ascii="Times New Roman" w:eastAsia="SimSun" w:hAnsi="Times New Roman" w:cs="Times New Roman"/>
                <w:b/>
              </w:rPr>
            </w:pPr>
            <w:proofErr w:type="gramStart"/>
            <w:r w:rsidRPr="0089003B">
              <w:rPr>
                <w:rFonts w:ascii="Times New Roman" w:eastAsia="SimSun" w:hAnsi="Times New Roman" w:cs="Times New Roman"/>
                <w:b/>
              </w:rPr>
              <w:t>Opzioni alternative</w:t>
            </w:r>
            <w:proofErr w:type="gramEnd"/>
            <w:r w:rsidRPr="0089003B">
              <w:rPr>
                <w:rFonts w:ascii="Times New Roman" w:eastAsia="SimSun" w:hAnsi="Times New Roman" w:cs="Times New Roman"/>
                <w:b/>
              </w:rPr>
              <w:t xml:space="preserve"> all’intervento regolatorio</w:t>
            </w:r>
          </w:p>
        </w:tc>
        <w:tc>
          <w:tcPr>
            <w:tcW w:w="7249" w:type="dxa"/>
          </w:tcPr>
          <w:p w14:paraId="111AE422" w14:textId="77777777" w:rsidR="00C26803" w:rsidRPr="0090677F" w:rsidRDefault="00C26803" w:rsidP="005E4FBE">
            <w:pPr>
              <w:jc w:val="both"/>
              <w:rPr>
                <w:rFonts w:ascii="Times New Roman" w:eastAsia="SimSun" w:hAnsi="Times New Roman" w:cs="Times New Roman"/>
              </w:rPr>
            </w:pPr>
            <w:r w:rsidRPr="0090677F">
              <w:rPr>
                <w:rFonts w:ascii="Times New Roman" w:eastAsia="SimSun" w:hAnsi="Times New Roman" w:cs="Times New Roman"/>
              </w:rPr>
              <w:t xml:space="preserve">Non sono configurabili </w:t>
            </w:r>
            <w:proofErr w:type="gramStart"/>
            <w:r w:rsidRPr="0090677F">
              <w:rPr>
                <w:rFonts w:ascii="Times New Roman" w:eastAsia="SimSun" w:hAnsi="Times New Roman" w:cs="Times New Roman"/>
              </w:rPr>
              <w:t>opzioni alternative</w:t>
            </w:r>
            <w:proofErr w:type="gramEnd"/>
            <w:r w:rsidRPr="0090677F">
              <w:rPr>
                <w:rFonts w:ascii="Times New Roman" w:eastAsia="SimSun" w:hAnsi="Times New Roman" w:cs="Times New Roman"/>
              </w:rPr>
              <w:t xml:space="preserve"> pienamente idonee al raggiungimento degli obiettivi perseguiti, in quanto si ritiene necessario un intervento di tipo legislativo volto a introdurre e disciplinare in modo organico un sistema di agevolazioni fiscali regionali a sostegno della cultura e della valorizzazione del paesaggio.</w:t>
            </w:r>
          </w:p>
          <w:p w14:paraId="4FAEB375" w14:textId="77777777" w:rsidR="00C26803" w:rsidRPr="0089003B" w:rsidRDefault="00C26803" w:rsidP="005E4FBE">
            <w:pPr>
              <w:jc w:val="both"/>
              <w:rPr>
                <w:rFonts w:ascii="Times New Roman" w:eastAsia="SimSun" w:hAnsi="Times New Roman" w:cs="Times New Roman"/>
              </w:rPr>
            </w:pPr>
            <w:r w:rsidRPr="0090677F">
              <w:rPr>
                <w:rFonts w:ascii="Times New Roman" w:eastAsia="SimSun" w:hAnsi="Times New Roman" w:cs="Times New Roman"/>
              </w:rPr>
              <w:t>Strumenti di natura amministrativa o programmatica, quali bandi o avvisi pubblici, non sarebbero infatti sufficienti a garantire la stabilità, la continuità e la certezza del quadro incentivante, né a incidere in modo strutturale sul sistema tributario regionale. L’intervento normativo si rende pertanto necessario per definire un quadro chiaro e duraturo di incentivi, assicurando al contempo il rispetto dei vincoli di finanza pubblica e della normativa europea in materia di aiuti di Stato.</w:t>
            </w:r>
          </w:p>
        </w:tc>
      </w:tr>
      <w:tr w:rsidR="00C26803" w:rsidRPr="0089003B" w14:paraId="41289921" w14:textId="77777777" w:rsidTr="005E4FBE">
        <w:trPr>
          <w:trHeight w:val="950"/>
        </w:trPr>
        <w:tc>
          <w:tcPr>
            <w:tcW w:w="2851" w:type="dxa"/>
          </w:tcPr>
          <w:p w14:paraId="112BEDAF"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5 -</w:t>
            </w:r>
          </w:p>
          <w:p w14:paraId="5D4A0FF0"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Giustificazione dell’opzione regolatoria proposta e valutazione degli oneri amministrativi e dell’impatto sulle PMI</w:t>
            </w:r>
          </w:p>
          <w:p w14:paraId="7D526152" w14:textId="77777777" w:rsidR="00C26803" w:rsidRPr="0089003B" w:rsidRDefault="00C26803" w:rsidP="005E4FBE">
            <w:pPr>
              <w:rPr>
                <w:rFonts w:ascii="Times New Roman" w:eastAsia="SimSun" w:hAnsi="Times New Roman" w:cs="Times New Roman"/>
                <w:b/>
              </w:rPr>
            </w:pPr>
          </w:p>
        </w:tc>
        <w:tc>
          <w:tcPr>
            <w:tcW w:w="7249" w:type="dxa"/>
          </w:tcPr>
          <w:p w14:paraId="5C6C7FA6"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a) Svantaggi e vantaggi dell’opzione prescelta per i destinatari diretti e indiretti</w:t>
            </w:r>
          </w:p>
          <w:p w14:paraId="4969DCB2"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t>L’intervento proposto presenta significativi vantaggi per i destinatari diretti e indiretti. In particolare, per i soggetti beneficiari delle agevolazioni fiscali, l’introduzione di un credito d’imposta regionale incrementa la convenienza economica delle erogazioni liberali, favorendo una maggiore partecipazione delle imprese e degli operatori economici al sostegno della cultura e del paesaggio.</w:t>
            </w:r>
          </w:p>
          <w:p w14:paraId="7D4466E3"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lastRenderedPageBreak/>
              <w:t>Per i soggetti destinatari degli interventi</w:t>
            </w:r>
            <w:r>
              <w:rPr>
                <w:rFonts w:ascii="Times New Roman" w:eastAsia="SimSun" w:hAnsi="Times New Roman" w:cs="Times New Roman"/>
              </w:rPr>
              <w:t>,</w:t>
            </w:r>
            <w:r w:rsidRPr="00437C86">
              <w:rPr>
                <w:rFonts w:ascii="Times New Roman" w:eastAsia="SimSun" w:hAnsi="Times New Roman" w:cs="Times New Roman"/>
              </w:rPr>
              <w:t xml:space="preserve"> la misura consente di ampliare le fonti di finanziamento e rafforzare la capacità di realizzare progetti di tutela e valorizzazione del patrimonio culturale e paesaggistico.</w:t>
            </w:r>
          </w:p>
          <w:p w14:paraId="442C0495"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t>L’intervento produce inoltre effetti positivi sul sistema economico regionale, in termini di attivazione di investimenti, sviluppo dell’indotto culturale e turistico e crescita dell’occupazione qualificata, nonché per la collettività, quale beneficiaria indiretta del miglioramento dell’offerta culturale.</w:t>
            </w:r>
          </w:p>
          <w:p w14:paraId="67B8942E"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t>Gli oneri amministrativi risultano contenuti, in quanto la misura si inserisce nel quadro di strumenti fiscali già esistenti ed è attuata mediante procedure definite con regolamento e, ove previsto, in collaborazione con l’Agenzia delle entrate.</w:t>
            </w:r>
          </w:p>
          <w:p w14:paraId="2F199090"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t>Con riferimento alle piccole e medie imprese, l’impatto è complessivamente positivo, consentendo anche a tali soggetti di accedere a strumenti di incentivazione e di partecipare al sostegno della cultura.</w:t>
            </w:r>
          </w:p>
          <w:p w14:paraId="02CBB4B7" w14:textId="77777777" w:rsidR="00C26803" w:rsidRDefault="00C26803" w:rsidP="005E4FBE">
            <w:pPr>
              <w:jc w:val="both"/>
              <w:rPr>
                <w:rFonts w:ascii="Times New Roman" w:eastAsia="SimSun" w:hAnsi="Times New Roman" w:cs="Times New Roman"/>
              </w:rPr>
            </w:pPr>
            <w:r w:rsidRPr="0089003B">
              <w:rPr>
                <w:rFonts w:ascii="Times New Roman" w:eastAsia="SimSun" w:hAnsi="Times New Roman" w:cs="Times New Roman"/>
              </w:rPr>
              <w:t>Il presente intervento non presenta svantaggi</w:t>
            </w:r>
            <w:r>
              <w:rPr>
                <w:rFonts w:ascii="Times New Roman" w:eastAsia="SimSun" w:hAnsi="Times New Roman" w:cs="Times New Roman"/>
              </w:rPr>
              <w:t>,</w:t>
            </w:r>
            <w:r w:rsidRPr="0089003B">
              <w:rPr>
                <w:rFonts w:ascii="Times New Roman" w:eastAsia="SimSun" w:hAnsi="Times New Roman" w:cs="Times New Roman"/>
              </w:rPr>
              <w:t xml:space="preserve"> </w:t>
            </w:r>
            <w:r w:rsidRPr="00437C86">
              <w:rPr>
                <w:rFonts w:ascii="Times New Roman" w:eastAsia="SimSun" w:hAnsi="Times New Roman" w:cs="Times New Roman"/>
              </w:rPr>
              <w:t>configura</w:t>
            </w:r>
            <w:r>
              <w:rPr>
                <w:rFonts w:ascii="Times New Roman" w:eastAsia="SimSun" w:hAnsi="Times New Roman" w:cs="Times New Roman"/>
              </w:rPr>
              <w:t>ndosi</w:t>
            </w:r>
            <w:r w:rsidRPr="00437C86">
              <w:rPr>
                <w:rFonts w:ascii="Times New Roman" w:eastAsia="SimSun" w:hAnsi="Times New Roman" w:cs="Times New Roman"/>
              </w:rPr>
              <w:t xml:space="preserve"> come misura volontaria e incentivante</w:t>
            </w:r>
            <w:r>
              <w:rPr>
                <w:rFonts w:ascii="Times New Roman" w:eastAsia="SimSun" w:hAnsi="Times New Roman" w:cs="Times New Roman"/>
              </w:rPr>
              <w:t xml:space="preserve"> nel</w:t>
            </w:r>
            <w:r w:rsidRPr="00437C86">
              <w:rPr>
                <w:rFonts w:ascii="Times New Roman" w:eastAsia="SimSun" w:hAnsi="Times New Roman" w:cs="Times New Roman"/>
              </w:rPr>
              <w:t xml:space="preserve"> favo</w:t>
            </w:r>
            <w:r>
              <w:rPr>
                <w:rFonts w:ascii="Times New Roman" w:eastAsia="SimSun" w:hAnsi="Times New Roman" w:cs="Times New Roman"/>
              </w:rPr>
              <w:t>rire</w:t>
            </w:r>
            <w:r w:rsidRPr="00437C86">
              <w:rPr>
                <w:rFonts w:ascii="Times New Roman" w:eastAsia="SimSun" w:hAnsi="Times New Roman" w:cs="Times New Roman"/>
              </w:rPr>
              <w:t xml:space="preserve"> forme di collaborazione tra pubblico e privato nella tutela e valorizzazione del patrimonio culturale.</w:t>
            </w:r>
          </w:p>
          <w:p w14:paraId="5BE08022" w14:textId="77777777" w:rsidR="00C26803" w:rsidRPr="0089003B" w:rsidRDefault="00C26803" w:rsidP="005E4FBE">
            <w:pPr>
              <w:jc w:val="both"/>
              <w:rPr>
                <w:rFonts w:ascii="Times New Roman" w:eastAsia="SimSun" w:hAnsi="Times New Roman" w:cs="Times New Roman"/>
              </w:rPr>
            </w:pPr>
          </w:p>
          <w:p w14:paraId="4EA08646"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b) Individuazione e stima degli effetti dell’opzione prescelta sulle micro, piccole e medie imprese</w:t>
            </w:r>
          </w:p>
          <w:p w14:paraId="7F4C07D0" w14:textId="77777777" w:rsidR="00C26803" w:rsidRPr="00437C86" w:rsidRDefault="00C26803" w:rsidP="005E4FBE">
            <w:pPr>
              <w:jc w:val="both"/>
              <w:rPr>
                <w:rFonts w:ascii="Times New Roman" w:eastAsia="SimSun" w:hAnsi="Times New Roman" w:cs="Times New Roman"/>
              </w:rPr>
            </w:pPr>
            <w:r w:rsidRPr="0089003B">
              <w:rPr>
                <w:rFonts w:ascii="Times New Roman" w:eastAsia="SimSun" w:hAnsi="Times New Roman" w:cs="Times New Roman"/>
              </w:rPr>
              <w:t>La proposta ha effetti favorevoli sul mondo delle imprese</w:t>
            </w:r>
            <w:r>
              <w:rPr>
                <w:rFonts w:ascii="Times New Roman" w:eastAsia="SimSun" w:hAnsi="Times New Roman" w:cs="Times New Roman"/>
              </w:rPr>
              <w:t>.</w:t>
            </w:r>
          </w:p>
          <w:p w14:paraId="22D4B558"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t>In particolare, le PMI, in qualità di soggetti passivi IRAP, possono beneficiare del credito d’imposta regionale, partecipando attivamente al finanziamento di interventi di valorizzazione del patrimonio culturale e territoriale.</w:t>
            </w:r>
          </w:p>
          <w:p w14:paraId="553DB155" w14:textId="77777777" w:rsidR="00C26803" w:rsidRPr="00437C86" w:rsidRDefault="00C26803" w:rsidP="005E4FBE">
            <w:pPr>
              <w:jc w:val="both"/>
              <w:rPr>
                <w:rFonts w:ascii="Times New Roman" w:eastAsia="SimSun" w:hAnsi="Times New Roman" w:cs="Times New Roman"/>
              </w:rPr>
            </w:pPr>
            <w:r w:rsidRPr="00437C86">
              <w:rPr>
                <w:rFonts w:ascii="Times New Roman" w:eastAsia="SimSun" w:hAnsi="Times New Roman" w:cs="Times New Roman"/>
              </w:rPr>
              <w:t>L’intervento favorisce inoltre il rafforzamento del legame tra imprese e territorio, con effetti positivi in termini di responsabilità sociale d’impresa, visibilità e integrazione nelle reti locali. Non si prevedono oneri aggiuntivi significativi per le PMI, se non quelli connessi alle ordinarie procedure di accesso al beneficio fiscale.</w:t>
            </w:r>
          </w:p>
          <w:p w14:paraId="3AC8E4D8"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 xml:space="preserve"> </w:t>
            </w:r>
          </w:p>
          <w:p w14:paraId="47FFF993"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 xml:space="preserve">c) Indicazione e stima degli oneri informativi e dei relativi costi amministrativi, introdotti o eliminati a carico dei cittadini e imprese. </w:t>
            </w:r>
            <w:r w:rsidRPr="0089003B">
              <w:rPr>
                <w:rFonts w:ascii="Times New Roman" w:eastAsia="SimSun" w:hAnsi="Times New Roman" w:cs="Times New Roman"/>
                <w:b/>
              </w:rPr>
              <w:lastRenderedPageBreak/>
              <w:t>Per onere informativo si intende qualunque tipologia di adempimento comportante raccolta, elaborazione, trasmissione, conservazione e produzione di informazioni, comunicazioni e documenti alla pubblica amministrazione</w:t>
            </w:r>
          </w:p>
          <w:p w14:paraId="421664B4"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t>La proposta legislativa prevede oneri informativi limitati e strettamente connessi alle procedure di accesso alle agevolazioni fiscali. In particolare, i soggetti interessati sono tenuti alla presentazione delle istanze per il riconoscimento del credito d’imposta, alla comunicazione delle erogazioni liberali effettuate e alla trasmissione della relativa documentazione attestante i requisiti richiesti.</w:t>
            </w:r>
          </w:p>
          <w:p w14:paraId="7022213C"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t>Tali adempimenti comportano attività di raccolta, elaborazione e trasmissione di informazioni alla pubblica amministrazione, ma si inseriscono nell’ambito di procedure standard già previste per l’accesso a benefici fiscali e risultano pertanto contenuti.</w:t>
            </w:r>
          </w:p>
          <w:p w14:paraId="6861DE73"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t>Ulteriori oneri informativi riguardano i soggetti beneficiari delle erogazioni, chiamati a fornire le dichiarazioni relative ai requisiti statutari e alla destinazione delle risorse, nonché a consentire le attività di controllo e monitoraggio da parte dell’amministrazione regionale.</w:t>
            </w:r>
          </w:p>
          <w:p w14:paraId="0D9FD219"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t>I costi amministrativi derivanti da tali adempimenti sono considerati proporzionati e limitati, anche in ragione della previsione di modalità operative semplificate, da definire con regolamento attuativo.</w:t>
            </w:r>
          </w:p>
          <w:p w14:paraId="474BC746" w14:textId="77777777" w:rsidR="00C26803" w:rsidRPr="0089003B" w:rsidRDefault="00C26803" w:rsidP="005E4FBE">
            <w:pPr>
              <w:jc w:val="both"/>
              <w:rPr>
                <w:rFonts w:ascii="Times New Roman" w:eastAsia="SimSun" w:hAnsi="Times New Roman" w:cs="Times New Roman"/>
              </w:rPr>
            </w:pPr>
            <w:r w:rsidRPr="00963E80">
              <w:rPr>
                <w:rFonts w:ascii="Times New Roman" w:eastAsia="SimSun" w:hAnsi="Times New Roman" w:cs="Times New Roman"/>
              </w:rPr>
              <w:t>I benefici economici e finanziari derivanti dall’accesso alle agevolazioni fiscali compensano ampiamente gli oneri informativi introdotti, contribuendo a rendere la misura attrattiva per imprese e altri soggetti interessati.</w:t>
            </w:r>
          </w:p>
        </w:tc>
      </w:tr>
      <w:tr w:rsidR="00C26803" w:rsidRPr="0089003B" w14:paraId="6643E903" w14:textId="77777777" w:rsidTr="005E4FBE">
        <w:trPr>
          <w:trHeight w:val="560"/>
        </w:trPr>
        <w:tc>
          <w:tcPr>
            <w:tcW w:w="2851" w:type="dxa"/>
          </w:tcPr>
          <w:p w14:paraId="4D875284"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6 -</w:t>
            </w:r>
          </w:p>
          <w:p w14:paraId="5B756F63"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Incidenza sul corretto funzionamento concorrenziale del mercato sulla competitività regionale, nonché sulle politiche giovanili</w:t>
            </w:r>
          </w:p>
        </w:tc>
        <w:tc>
          <w:tcPr>
            <w:tcW w:w="7249" w:type="dxa"/>
          </w:tcPr>
          <w:p w14:paraId="433F1636"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 xml:space="preserve">La proposta non incide sul funzionamento del mercato, sulla libera concorrenza delle imprese e sulle forme di imprenditorialità, anche giovanili. </w:t>
            </w:r>
          </w:p>
        </w:tc>
      </w:tr>
      <w:tr w:rsidR="00C26803" w:rsidRPr="0089003B" w14:paraId="0AC038F9" w14:textId="77777777" w:rsidTr="005E4FBE">
        <w:trPr>
          <w:trHeight w:val="630"/>
        </w:trPr>
        <w:tc>
          <w:tcPr>
            <w:tcW w:w="2851" w:type="dxa"/>
          </w:tcPr>
          <w:p w14:paraId="564EF84C"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Sezione 7 -</w:t>
            </w:r>
          </w:p>
          <w:p w14:paraId="2E985E24"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Modalità attuative dell’intervento di regolamentazione</w:t>
            </w:r>
          </w:p>
          <w:p w14:paraId="26605F73" w14:textId="77777777" w:rsidR="00C26803" w:rsidRPr="0089003B" w:rsidRDefault="00C26803" w:rsidP="005E4FBE">
            <w:pPr>
              <w:jc w:val="center"/>
              <w:rPr>
                <w:rFonts w:ascii="Times New Roman" w:eastAsia="SimSun" w:hAnsi="Times New Roman" w:cs="Times New Roman"/>
                <w:b/>
              </w:rPr>
            </w:pPr>
          </w:p>
          <w:p w14:paraId="5A3A867C" w14:textId="77777777" w:rsidR="00C26803" w:rsidRPr="0089003B" w:rsidRDefault="00C26803" w:rsidP="005E4FBE">
            <w:pPr>
              <w:jc w:val="center"/>
              <w:rPr>
                <w:rFonts w:ascii="Times New Roman" w:eastAsia="SimSun" w:hAnsi="Times New Roman" w:cs="Times New Roman"/>
                <w:b/>
              </w:rPr>
            </w:pPr>
          </w:p>
        </w:tc>
        <w:tc>
          <w:tcPr>
            <w:tcW w:w="7249" w:type="dxa"/>
          </w:tcPr>
          <w:p w14:paraId="1246165F"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lastRenderedPageBreak/>
              <w:t>a) Soggetti responsabili dell’attuazione dell’intervento regolatorio</w:t>
            </w:r>
          </w:p>
          <w:p w14:paraId="25D4ED64"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lastRenderedPageBreak/>
              <w:t>Sono responsabili dell’attuazione delle disposizioni previste dalla presente legge la Regione Campania, in particolare la Giunta regionale e le strutture amministrative competenti in materia di cultura e tributi.</w:t>
            </w:r>
          </w:p>
          <w:p w14:paraId="74A3D59D"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t>Alla Giunta regionale spettano le funzioni di indirizzo e attuazione, ivi compresa l’adozione del regolamento attuativo, la gestione delle procedure di accesso alle agevolazioni, nonché le attività di controllo, monitoraggio e rendicontazione.</w:t>
            </w:r>
          </w:p>
          <w:p w14:paraId="4C46E265" w14:textId="77777777" w:rsidR="00C26803" w:rsidRPr="00963E80" w:rsidRDefault="00C26803" w:rsidP="005E4FBE">
            <w:pPr>
              <w:jc w:val="both"/>
              <w:rPr>
                <w:rFonts w:ascii="Times New Roman" w:eastAsia="SimSun" w:hAnsi="Times New Roman" w:cs="Times New Roman"/>
              </w:rPr>
            </w:pPr>
            <w:r w:rsidRPr="00963E80">
              <w:rPr>
                <w:rFonts w:ascii="Times New Roman" w:eastAsia="SimSun" w:hAnsi="Times New Roman" w:cs="Times New Roman"/>
              </w:rPr>
              <w:t>Rileva, altresì, il ruolo dell’Agenzia delle entrate, nell’ambito della eventuale convenzione prevista, per quanto concerne le modalità di fruizione e controllo del credito d’imposta.</w:t>
            </w:r>
          </w:p>
          <w:p w14:paraId="566807FE" w14:textId="77777777" w:rsidR="00C26803" w:rsidRDefault="00C26803" w:rsidP="005E4FBE">
            <w:pPr>
              <w:jc w:val="both"/>
              <w:rPr>
                <w:rFonts w:ascii="Times New Roman" w:eastAsia="SimSun" w:hAnsi="Times New Roman" w:cs="Times New Roman"/>
              </w:rPr>
            </w:pPr>
            <w:r w:rsidRPr="00963E80">
              <w:rPr>
                <w:rFonts w:ascii="Times New Roman" w:eastAsia="SimSun" w:hAnsi="Times New Roman" w:cs="Times New Roman"/>
              </w:rPr>
              <w:t>Il Consiglio regionale esercita le funzioni di indirizzo e controllo politico-amministrativo, anche attraverso l’esame della relazione prevista dalla clausola valutativa.</w:t>
            </w:r>
          </w:p>
          <w:p w14:paraId="70078A2A" w14:textId="77777777" w:rsidR="00C26803" w:rsidRPr="0089003B" w:rsidRDefault="00C26803" w:rsidP="005E4FBE">
            <w:pPr>
              <w:jc w:val="both"/>
              <w:rPr>
                <w:rFonts w:ascii="Times New Roman" w:eastAsia="SimSun" w:hAnsi="Times New Roman" w:cs="Times New Roman"/>
              </w:rPr>
            </w:pPr>
          </w:p>
          <w:p w14:paraId="6C4C66DD"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b) Azioni per la pubblicità e per l’informazione dell’intervento</w:t>
            </w:r>
          </w:p>
          <w:p w14:paraId="4A1324FF" w14:textId="77777777" w:rsidR="00C26803" w:rsidRPr="00994DDD" w:rsidRDefault="00C26803" w:rsidP="005E4FBE">
            <w:pPr>
              <w:jc w:val="both"/>
              <w:rPr>
                <w:rFonts w:ascii="Times New Roman" w:eastAsia="SimSun" w:hAnsi="Times New Roman" w:cs="Times New Roman"/>
              </w:rPr>
            </w:pPr>
            <w:r w:rsidRPr="00994DDD">
              <w:rPr>
                <w:rFonts w:ascii="Times New Roman" w:eastAsia="SimSun" w:hAnsi="Times New Roman" w:cs="Times New Roman"/>
              </w:rPr>
              <w:t>La Regione Campania promuove la conoscenza della presente legge e delle relative agevolazioni fiscali attraverso iniziative di informazione e divulgazione rivolte ai soggetti potenzialmente interessati, con particolare riferimento alle imprese, agli enti del Terzo settore e agli operatori culturali.</w:t>
            </w:r>
          </w:p>
          <w:p w14:paraId="5B7F1617" w14:textId="77777777" w:rsidR="00C26803" w:rsidRPr="00994DDD" w:rsidRDefault="00C26803" w:rsidP="005E4FBE">
            <w:pPr>
              <w:jc w:val="both"/>
              <w:rPr>
                <w:rFonts w:ascii="Times New Roman" w:eastAsia="SimSun" w:hAnsi="Times New Roman" w:cs="Times New Roman"/>
              </w:rPr>
            </w:pPr>
            <w:r w:rsidRPr="00994DDD">
              <w:rPr>
                <w:rFonts w:ascii="Times New Roman" w:eastAsia="SimSun" w:hAnsi="Times New Roman" w:cs="Times New Roman"/>
              </w:rPr>
              <w:t>La Giunta regionale assicura la diffusione delle informazioni relative alle modalità di accesso ai benefici, anche mediante strumenti digitali e canali istituzionali, nonché attraverso attività di comunicazione e sensibilizzazione finalizzate a promuovere il ricorso al mecenatismo culturale.</w:t>
            </w:r>
          </w:p>
          <w:p w14:paraId="357F46D3" w14:textId="77777777" w:rsidR="00C26803" w:rsidRPr="0089003B" w:rsidRDefault="00C26803" w:rsidP="005E4FBE">
            <w:pPr>
              <w:jc w:val="both"/>
              <w:rPr>
                <w:rFonts w:ascii="Times New Roman" w:eastAsia="SimSun" w:hAnsi="Times New Roman" w:cs="Times New Roman"/>
              </w:rPr>
            </w:pPr>
          </w:p>
          <w:p w14:paraId="6ECCD7A7"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c) Strumenti e modalità per il controllo e il monitoraggio dell’intervento regolatorio</w:t>
            </w:r>
          </w:p>
          <w:p w14:paraId="437A1B0D" w14:textId="77777777" w:rsidR="00C26803" w:rsidRPr="00994DDD" w:rsidRDefault="00C26803" w:rsidP="005E4FBE">
            <w:pPr>
              <w:jc w:val="both"/>
              <w:rPr>
                <w:rFonts w:ascii="Times New Roman" w:eastAsia="SimSun" w:hAnsi="Times New Roman" w:cs="Times New Roman"/>
              </w:rPr>
            </w:pPr>
            <w:r w:rsidRPr="00994DDD">
              <w:rPr>
                <w:rFonts w:ascii="Times New Roman" w:eastAsia="SimSun" w:hAnsi="Times New Roman" w:cs="Times New Roman"/>
              </w:rPr>
              <w:t>Il controllo sull’attuazione della presente legge è esercitato dal Consiglio regionale, che valuta i risultati conseguiti rispetto agli obiettivi dell’intervento.</w:t>
            </w:r>
          </w:p>
          <w:p w14:paraId="3E6CA574" w14:textId="77777777" w:rsidR="00C26803" w:rsidRPr="00994DDD" w:rsidRDefault="00C26803" w:rsidP="005E4FBE">
            <w:pPr>
              <w:jc w:val="both"/>
              <w:rPr>
                <w:rFonts w:ascii="Times New Roman" w:eastAsia="SimSun" w:hAnsi="Times New Roman" w:cs="Times New Roman"/>
              </w:rPr>
            </w:pPr>
            <w:r w:rsidRPr="00994DDD">
              <w:rPr>
                <w:rFonts w:ascii="Times New Roman" w:eastAsia="SimSun" w:hAnsi="Times New Roman" w:cs="Times New Roman"/>
              </w:rPr>
              <w:t>A tal fine, la Giunta regionale trasmette annualmente al Consiglio regionale, ai sensi della clausola valutativa prevista</w:t>
            </w:r>
            <w:r>
              <w:rPr>
                <w:rFonts w:ascii="Times New Roman" w:eastAsia="SimSun" w:hAnsi="Times New Roman" w:cs="Times New Roman"/>
              </w:rPr>
              <w:t xml:space="preserve"> </w:t>
            </w:r>
            <w:r>
              <w:rPr>
                <w:rFonts w:ascii="Times New Roman" w:eastAsia="SimSun" w:hAnsi="Times New Roman" w:cs="Times New Roman"/>
                <w:i/>
                <w:iCs/>
              </w:rPr>
              <w:t xml:space="preserve">ex </w:t>
            </w:r>
            <w:r>
              <w:rPr>
                <w:rFonts w:ascii="Times New Roman" w:eastAsia="SimSun" w:hAnsi="Times New Roman" w:cs="Times New Roman"/>
              </w:rPr>
              <w:t>art. 7</w:t>
            </w:r>
            <w:r w:rsidRPr="00994DDD">
              <w:rPr>
                <w:rFonts w:ascii="Times New Roman" w:eastAsia="SimSun" w:hAnsi="Times New Roman" w:cs="Times New Roman"/>
              </w:rPr>
              <w:t>, una relazione contenente informazioni sui principali aspetti attuativi della misura, tra cui:</w:t>
            </w:r>
            <w:r w:rsidRPr="00994DDD">
              <w:rPr>
                <w:rFonts w:ascii="Times New Roman" w:eastAsia="SimSun" w:hAnsi="Times New Roman" w:cs="Times New Roman"/>
              </w:rPr>
              <w:br/>
            </w:r>
            <w:r w:rsidRPr="00994DDD">
              <w:rPr>
                <w:rFonts w:ascii="Times New Roman" w:eastAsia="SimSun" w:hAnsi="Times New Roman" w:cs="Times New Roman"/>
              </w:rPr>
              <w:lastRenderedPageBreak/>
              <w:t>a) il numero e la tipologia dei soggetti beneficiari delle agevolazioni fiscali;</w:t>
            </w:r>
            <w:r w:rsidRPr="00994DDD">
              <w:rPr>
                <w:rFonts w:ascii="Times New Roman" w:eastAsia="SimSun" w:hAnsi="Times New Roman" w:cs="Times New Roman"/>
              </w:rPr>
              <w:br/>
              <w:t>b) l’ammontare delle erogazioni liberali effettuate e la loro distribuzione territoriale;</w:t>
            </w:r>
            <w:r w:rsidRPr="00994DDD">
              <w:rPr>
                <w:rFonts w:ascii="Times New Roman" w:eastAsia="SimSun" w:hAnsi="Times New Roman" w:cs="Times New Roman"/>
              </w:rPr>
              <w:br/>
              <w:t>c) la tipologia e lo stato di attuazione dei progetti finanziati;</w:t>
            </w:r>
            <w:r w:rsidRPr="00994DDD">
              <w:rPr>
                <w:rFonts w:ascii="Times New Roman" w:eastAsia="SimSun" w:hAnsi="Times New Roman" w:cs="Times New Roman"/>
              </w:rPr>
              <w:br/>
              <w:t>d) le minori entrate derivanti dall’applicazione del credito d’imposta e il rapporto con le risorse complessivamente attivate.</w:t>
            </w:r>
          </w:p>
          <w:p w14:paraId="691423E9" w14:textId="77777777" w:rsidR="00C26803" w:rsidRPr="00994DDD" w:rsidRDefault="00C26803" w:rsidP="005E4FBE">
            <w:pPr>
              <w:jc w:val="both"/>
              <w:rPr>
                <w:rFonts w:ascii="Times New Roman" w:eastAsia="SimSun" w:hAnsi="Times New Roman" w:cs="Times New Roman"/>
              </w:rPr>
            </w:pPr>
            <w:r w:rsidRPr="00994DDD">
              <w:rPr>
                <w:rFonts w:ascii="Times New Roman" w:eastAsia="SimSun" w:hAnsi="Times New Roman" w:cs="Times New Roman"/>
              </w:rPr>
              <w:t>La Giunta regionale, attraverso le strutture amministrative competenti, assicura inoltre il monitoraggio continuo dell’attuazione della misura, anche ai fini della verifica dell’efficacia degli interventi e dell’eventuale adozione di misure correttive.</w:t>
            </w:r>
          </w:p>
          <w:p w14:paraId="44B29A81" w14:textId="77777777" w:rsidR="00C26803" w:rsidRPr="0089003B" w:rsidRDefault="00C26803" w:rsidP="005E4FBE">
            <w:pPr>
              <w:jc w:val="both"/>
              <w:rPr>
                <w:rFonts w:ascii="Times New Roman" w:eastAsia="SimSun" w:hAnsi="Times New Roman" w:cs="Times New Roman"/>
              </w:rPr>
            </w:pPr>
          </w:p>
          <w:p w14:paraId="12DE202E"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b/>
              </w:rPr>
              <w:t>d) Meccanismi previsti per la revisione dell’intervento regolatorio</w:t>
            </w:r>
          </w:p>
          <w:p w14:paraId="6E854BF7" w14:textId="77777777" w:rsidR="00C26803" w:rsidRPr="0089003B" w:rsidRDefault="00C26803" w:rsidP="005E4FBE">
            <w:pPr>
              <w:jc w:val="both"/>
              <w:rPr>
                <w:rFonts w:ascii="Times New Roman" w:eastAsia="SimSun" w:hAnsi="Times New Roman" w:cs="Times New Roman"/>
                <w:b/>
              </w:rPr>
            </w:pPr>
            <w:r w:rsidRPr="0089003B">
              <w:rPr>
                <w:rFonts w:ascii="Times New Roman" w:eastAsia="SimSun" w:hAnsi="Times New Roman" w:cs="Times New Roman"/>
              </w:rPr>
              <w:t>Gli interventi che si renderanno necessari per integrare l’impianto normativo potranno essere realizzati attraverso successive modificazioni normative o, nei casi in cui è previsto, attraverso una regolamentazione di dettaglio demandata alla Giunta regionale.</w:t>
            </w:r>
          </w:p>
        </w:tc>
      </w:tr>
      <w:tr w:rsidR="00C26803" w:rsidRPr="0089003B" w14:paraId="20145C73" w14:textId="77777777" w:rsidTr="005E4FBE">
        <w:trPr>
          <w:trHeight w:val="1453"/>
        </w:trPr>
        <w:tc>
          <w:tcPr>
            <w:tcW w:w="2851" w:type="dxa"/>
          </w:tcPr>
          <w:p w14:paraId="0B564DDA"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lastRenderedPageBreak/>
              <w:t>Sezione 8 -</w:t>
            </w:r>
          </w:p>
          <w:p w14:paraId="08F549D0" w14:textId="77777777" w:rsidR="00C26803" w:rsidRPr="0089003B" w:rsidRDefault="00C26803" w:rsidP="005E4FBE">
            <w:pPr>
              <w:jc w:val="center"/>
              <w:rPr>
                <w:rFonts w:ascii="Times New Roman" w:eastAsia="SimSun" w:hAnsi="Times New Roman" w:cs="Times New Roman"/>
                <w:b/>
              </w:rPr>
            </w:pPr>
            <w:r w:rsidRPr="0089003B">
              <w:rPr>
                <w:rFonts w:ascii="Times New Roman" w:eastAsia="SimSun" w:hAnsi="Times New Roman" w:cs="Times New Roman"/>
                <w:b/>
              </w:rPr>
              <w:t>Rispetto dei livelli minimi di regolazione europea</w:t>
            </w:r>
          </w:p>
        </w:tc>
        <w:tc>
          <w:tcPr>
            <w:tcW w:w="7249" w:type="dxa"/>
          </w:tcPr>
          <w:p w14:paraId="451D6B15" w14:textId="77777777" w:rsidR="00C26803" w:rsidRPr="0089003B" w:rsidRDefault="00C26803" w:rsidP="005E4FBE">
            <w:pPr>
              <w:jc w:val="both"/>
              <w:rPr>
                <w:rFonts w:ascii="Times New Roman" w:eastAsia="SimSun" w:hAnsi="Times New Roman" w:cs="Times New Roman"/>
                <w:b/>
              </w:rPr>
            </w:pPr>
          </w:p>
          <w:p w14:paraId="14A1D927" w14:textId="77777777" w:rsidR="00C26803" w:rsidRPr="0089003B" w:rsidRDefault="00C26803" w:rsidP="005E4FBE">
            <w:pPr>
              <w:jc w:val="both"/>
              <w:rPr>
                <w:rFonts w:ascii="Times New Roman" w:eastAsia="SimSun" w:hAnsi="Times New Roman" w:cs="Times New Roman"/>
              </w:rPr>
            </w:pPr>
            <w:r w:rsidRPr="0089003B">
              <w:rPr>
                <w:rFonts w:ascii="Times New Roman" w:eastAsia="SimSun" w:hAnsi="Times New Roman" w:cs="Times New Roman"/>
              </w:rPr>
              <w:t>L’intervento regolatorio rispetta i livelli minimi di regolazione europea.</w:t>
            </w:r>
          </w:p>
        </w:tc>
      </w:tr>
    </w:tbl>
    <w:p w14:paraId="482B72DB" w14:textId="77777777" w:rsidR="00C26803" w:rsidRPr="0089003B" w:rsidRDefault="00C26803" w:rsidP="00C26803">
      <w:pPr>
        <w:jc w:val="both"/>
        <w:rPr>
          <w:rFonts w:ascii="Times New Roman" w:eastAsiaTheme="minorEastAsia" w:hAnsi="Times New Roman" w:cs="Times New Roman"/>
          <w:kern w:val="0"/>
          <w:lang w:eastAsia="it-IT"/>
        </w:rPr>
      </w:pPr>
    </w:p>
    <w:p w14:paraId="10696DD7" w14:textId="77777777" w:rsidR="00C45572" w:rsidRDefault="00C45572"/>
    <w:sectPr w:rsidR="00C45572" w:rsidSect="00C26803">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D9015" w14:textId="77777777" w:rsidR="00A675BC" w:rsidRDefault="00A675BC" w:rsidP="00F767D6">
      <w:pPr>
        <w:spacing w:after="0" w:line="240" w:lineRule="auto"/>
      </w:pPr>
      <w:r>
        <w:separator/>
      </w:r>
    </w:p>
  </w:endnote>
  <w:endnote w:type="continuationSeparator" w:id="0">
    <w:p w14:paraId="49FAFCD5" w14:textId="77777777" w:rsidR="00A675BC" w:rsidRDefault="00A675BC" w:rsidP="00F7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41BF9" w14:textId="77777777" w:rsidR="00A675BC" w:rsidRDefault="00A675BC" w:rsidP="00F767D6">
      <w:pPr>
        <w:spacing w:after="0" w:line="240" w:lineRule="auto"/>
      </w:pPr>
      <w:r>
        <w:separator/>
      </w:r>
    </w:p>
  </w:footnote>
  <w:footnote w:type="continuationSeparator" w:id="0">
    <w:p w14:paraId="11EE79BC" w14:textId="77777777" w:rsidR="00A675BC" w:rsidRDefault="00A675BC" w:rsidP="00F76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207C" w14:textId="4DCA3496" w:rsidR="00F767D6" w:rsidRDefault="00F767D6" w:rsidP="00F767D6">
    <w:pPr>
      <w:pStyle w:val="Intestazione"/>
      <w:tabs>
        <w:tab w:val="clear" w:pos="4819"/>
        <w:tab w:val="clear" w:pos="9638"/>
        <w:tab w:val="left" w:pos="3140"/>
      </w:tabs>
    </w:pPr>
    <w:r>
      <w:rPr>
        <w:noProof/>
        <w:sz w:val="20"/>
      </w:rPr>
      <w:drawing>
        <wp:anchor distT="0" distB="0" distL="0" distR="0" simplePos="0" relativeHeight="251659264" behindDoc="1" locked="0" layoutInCell="1" allowOverlap="1" wp14:anchorId="6823C601" wp14:editId="0E180E92">
          <wp:simplePos x="0" y="0"/>
          <wp:positionH relativeFrom="margin">
            <wp:posOffset>2660015</wp:posOffset>
          </wp:positionH>
          <wp:positionV relativeFrom="page">
            <wp:posOffset>317500</wp:posOffset>
          </wp:positionV>
          <wp:extent cx="800100" cy="533400"/>
          <wp:effectExtent l="0" t="0" r="0" b="0"/>
          <wp:wrapNone/>
          <wp:docPr id="52078466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00100" cy="533400"/>
                  </a:xfrm>
                  <a:prstGeom prst="rect">
                    <a:avLst/>
                  </a:prstGeom>
                </pic:spPr>
              </pic:pic>
            </a:graphicData>
          </a:graphic>
          <wp14:sizeRelV relativeFrom="margin">
            <wp14:pctHeight>0</wp14:pctHeight>
          </wp14:sizeRelV>
        </wp:anchor>
      </w:drawing>
    </w:r>
    <w:r>
      <w:tab/>
    </w:r>
  </w:p>
  <w:p w14:paraId="537FB8C8" w14:textId="77777777" w:rsidR="00F767D6" w:rsidRDefault="00F767D6" w:rsidP="00F767D6">
    <w:pPr>
      <w:pStyle w:val="Intestazione"/>
      <w:tabs>
        <w:tab w:val="clear" w:pos="4819"/>
        <w:tab w:val="clear" w:pos="9638"/>
        <w:tab w:val="left" w:pos="3140"/>
      </w:tabs>
    </w:pPr>
  </w:p>
  <w:p w14:paraId="39D0870D" w14:textId="77777777" w:rsidR="00F767D6" w:rsidRDefault="00F767D6" w:rsidP="00F767D6">
    <w:pPr>
      <w:spacing w:before="10"/>
      <w:ind w:left="20"/>
      <w:jc w:val="center"/>
      <w:rPr>
        <w:rFonts w:ascii="Times New Roman"/>
        <w:b/>
      </w:rPr>
    </w:pPr>
  </w:p>
  <w:p w14:paraId="75072081" w14:textId="17EB52B4" w:rsidR="00F767D6" w:rsidRDefault="00F767D6" w:rsidP="00F767D6">
    <w:pPr>
      <w:spacing w:before="10"/>
      <w:ind w:left="20"/>
      <w:jc w:val="center"/>
      <w:rPr>
        <w:rFonts w:ascii="Times New Roman"/>
        <w:b/>
      </w:rPr>
    </w:pPr>
    <w:r>
      <w:rPr>
        <w:rFonts w:ascii="Times New Roman"/>
        <w:b/>
      </w:rPr>
      <w:t>Consiglio</w:t>
    </w:r>
    <w:r>
      <w:rPr>
        <w:rFonts w:ascii="Times New Roman"/>
        <w:b/>
        <w:spacing w:val="-3"/>
      </w:rPr>
      <w:t xml:space="preserve"> </w:t>
    </w:r>
    <w:r>
      <w:rPr>
        <w:rFonts w:ascii="Times New Roman"/>
        <w:b/>
      </w:rPr>
      <w:t>Regionale</w:t>
    </w:r>
    <w:r>
      <w:rPr>
        <w:rFonts w:ascii="Times New Roman"/>
        <w:b/>
        <w:spacing w:val="-3"/>
      </w:rPr>
      <w:t xml:space="preserve"> </w:t>
    </w:r>
    <w:r>
      <w:rPr>
        <w:rFonts w:ascii="Times New Roman"/>
        <w:b/>
      </w:rPr>
      <w:t>della</w:t>
    </w:r>
    <w:r>
      <w:rPr>
        <w:rFonts w:ascii="Times New Roman"/>
        <w:b/>
        <w:spacing w:val="-3"/>
      </w:rPr>
      <w:t xml:space="preserve"> </w:t>
    </w:r>
    <w:r>
      <w:rPr>
        <w:rFonts w:ascii="Times New Roman"/>
        <w:b/>
        <w:spacing w:val="-2"/>
      </w:rPr>
      <w:t>Campania</w:t>
    </w:r>
  </w:p>
  <w:p w14:paraId="78D6C656" w14:textId="77777777" w:rsidR="00F767D6" w:rsidRDefault="00F767D6" w:rsidP="00F767D6">
    <w:pPr>
      <w:pStyle w:val="Intestazione"/>
      <w:tabs>
        <w:tab w:val="clear" w:pos="4819"/>
        <w:tab w:val="clear" w:pos="9638"/>
        <w:tab w:val="left" w:pos="3140"/>
      </w:tabs>
    </w:pPr>
  </w:p>
  <w:p w14:paraId="63B175EE" w14:textId="15822234" w:rsidR="00F767D6" w:rsidRDefault="00F767D6">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803"/>
    <w:rsid w:val="001B3955"/>
    <w:rsid w:val="002F1C10"/>
    <w:rsid w:val="005C09E5"/>
    <w:rsid w:val="00A675BC"/>
    <w:rsid w:val="00C26803"/>
    <w:rsid w:val="00C45572"/>
    <w:rsid w:val="00CE680F"/>
    <w:rsid w:val="00F767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95539"/>
  <w15:chartTrackingRefBased/>
  <w15:docId w15:val="{D4C23715-9BFD-427B-88B6-68DE72150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6803"/>
    <w:pPr>
      <w:spacing w:after="160" w:line="278" w:lineRule="auto"/>
    </w:pPr>
    <w:rPr>
      <w:sz w:val="24"/>
      <w:szCs w:val="24"/>
    </w:rPr>
  </w:style>
  <w:style w:type="paragraph" w:styleId="Titolo1">
    <w:name w:val="heading 1"/>
    <w:basedOn w:val="Normale"/>
    <w:next w:val="Normale"/>
    <w:link w:val="Titolo1Carattere"/>
    <w:uiPriority w:val="9"/>
    <w:qFormat/>
    <w:rsid w:val="00C2680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itolo2">
    <w:name w:val="heading 2"/>
    <w:basedOn w:val="Normale"/>
    <w:next w:val="Normale"/>
    <w:link w:val="Titolo2Carattere"/>
    <w:uiPriority w:val="9"/>
    <w:semiHidden/>
    <w:unhideWhenUsed/>
    <w:qFormat/>
    <w:rsid w:val="00C2680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26803"/>
    <w:pPr>
      <w:keepNext/>
      <w:keepLines/>
      <w:spacing w:before="160" w:after="80"/>
      <w:outlineLvl w:val="2"/>
    </w:pPr>
    <w:rPr>
      <w:rFonts w:eastAsiaTheme="majorEastAsia" w:cstheme="majorBidi"/>
      <w:color w:val="365F91" w:themeColor="accent1" w:themeShade="BF"/>
      <w:sz w:val="28"/>
      <w:szCs w:val="28"/>
    </w:rPr>
  </w:style>
  <w:style w:type="paragraph" w:styleId="Titolo4">
    <w:name w:val="heading 4"/>
    <w:basedOn w:val="Normale"/>
    <w:next w:val="Normale"/>
    <w:link w:val="Titolo4Carattere"/>
    <w:uiPriority w:val="9"/>
    <w:semiHidden/>
    <w:unhideWhenUsed/>
    <w:qFormat/>
    <w:rsid w:val="00C26803"/>
    <w:pPr>
      <w:keepNext/>
      <w:keepLines/>
      <w:spacing w:before="80" w:after="40"/>
      <w:outlineLvl w:val="3"/>
    </w:pPr>
    <w:rPr>
      <w:rFonts w:eastAsiaTheme="majorEastAsia"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C26803"/>
    <w:pPr>
      <w:keepNext/>
      <w:keepLines/>
      <w:spacing w:before="80" w:after="40"/>
      <w:outlineLvl w:val="4"/>
    </w:pPr>
    <w:rPr>
      <w:rFonts w:eastAsiaTheme="majorEastAsia" w:cstheme="majorBidi"/>
      <w:color w:val="365F91" w:themeColor="accent1" w:themeShade="BF"/>
    </w:rPr>
  </w:style>
  <w:style w:type="paragraph" w:styleId="Titolo6">
    <w:name w:val="heading 6"/>
    <w:basedOn w:val="Normale"/>
    <w:next w:val="Normale"/>
    <w:link w:val="Titolo6Carattere"/>
    <w:uiPriority w:val="9"/>
    <w:semiHidden/>
    <w:unhideWhenUsed/>
    <w:qFormat/>
    <w:rsid w:val="00C26803"/>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26803"/>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26803"/>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26803"/>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26803"/>
    <w:rPr>
      <w:rFonts w:asciiTheme="majorHAnsi" w:eastAsiaTheme="majorEastAsia" w:hAnsiTheme="majorHAnsi" w:cstheme="majorBidi"/>
      <w:color w:val="365F91" w:themeColor="accent1" w:themeShade="BF"/>
      <w:sz w:val="40"/>
      <w:szCs w:val="40"/>
    </w:rPr>
  </w:style>
  <w:style w:type="character" w:customStyle="1" w:styleId="Titolo2Carattere">
    <w:name w:val="Titolo 2 Carattere"/>
    <w:basedOn w:val="Carpredefinitoparagrafo"/>
    <w:link w:val="Titolo2"/>
    <w:uiPriority w:val="9"/>
    <w:semiHidden/>
    <w:rsid w:val="00C26803"/>
    <w:rPr>
      <w:rFonts w:asciiTheme="majorHAnsi" w:eastAsiaTheme="majorEastAsia" w:hAnsiTheme="majorHAnsi" w:cstheme="majorBidi"/>
      <w:color w:val="365F91" w:themeColor="accent1" w:themeShade="BF"/>
      <w:sz w:val="32"/>
      <w:szCs w:val="32"/>
    </w:rPr>
  </w:style>
  <w:style w:type="character" w:customStyle="1" w:styleId="Titolo3Carattere">
    <w:name w:val="Titolo 3 Carattere"/>
    <w:basedOn w:val="Carpredefinitoparagrafo"/>
    <w:link w:val="Titolo3"/>
    <w:uiPriority w:val="9"/>
    <w:semiHidden/>
    <w:rsid w:val="00C26803"/>
    <w:rPr>
      <w:rFonts w:eastAsiaTheme="majorEastAsia" w:cstheme="majorBidi"/>
      <w:color w:val="365F91" w:themeColor="accent1" w:themeShade="BF"/>
      <w:sz w:val="28"/>
      <w:szCs w:val="28"/>
    </w:rPr>
  </w:style>
  <w:style w:type="character" w:customStyle="1" w:styleId="Titolo4Carattere">
    <w:name w:val="Titolo 4 Carattere"/>
    <w:basedOn w:val="Carpredefinitoparagrafo"/>
    <w:link w:val="Titolo4"/>
    <w:uiPriority w:val="9"/>
    <w:semiHidden/>
    <w:rsid w:val="00C26803"/>
    <w:rPr>
      <w:rFonts w:eastAsiaTheme="majorEastAsia" w:cstheme="majorBidi"/>
      <w:i/>
      <w:iCs/>
      <w:color w:val="365F91" w:themeColor="accent1" w:themeShade="BF"/>
    </w:rPr>
  </w:style>
  <w:style w:type="character" w:customStyle="1" w:styleId="Titolo5Carattere">
    <w:name w:val="Titolo 5 Carattere"/>
    <w:basedOn w:val="Carpredefinitoparagrafo"/>
    <w:link w:val="Titolo5"/>
    <w:uiPriority w:val="9"/>
    <w:semiHidden/>
    <w:rsid w:val="00C26803"/>
    <w:rPr>
      <w:rFonts w:eastAsiaTheme="majorEastAsia" w:cstheme="majorBidi"/>
      <w:color w:val="365F91" w:themeColor="accent1" w:themeShade="BF"/>
    </w:rPr>
  </w:style>
  <w:style w:type="character" w:customStyle="1" w:styleId="Titolo6Carattere">
    <w:name w:val="Titolo 6 Carattere"/>
    <w:basedOn w:val="Carpredefinitoparagrafo"/>
    <w:link w:val="Titolo6"/>
    <w:uiPriority w:val="9"/>
    <w:semiHidden/>
    <w:rsid w:val="00C2680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2680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2680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26803"/>
    <w:rPr>
      <w:rFonts w:eastAsiaTheme="majorEastAsia" w:cstheme="majorBidi"/>
      <w:color w:val="272727" w:themeColor="text1" w:themeTint="D8"/>
    </w:rPr>
  </w:style>
  <w:style w:type="paragraph" w:styleId="Titolo">
    <w:name w:val="Title"/>
    <w:basedOn w:val="Normale"/>
    <w:next w:val="Normale"/>
    <w:link w:val="TitoloCarattere"/>
    <w:uiPriority w:val="10"/>
    <w:qFormat/>
    <w:rsid w:val="00C26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2680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2680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2680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2680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26803"/>
    <w:rPr>
      <w:i/>
      <w:iCs/>
      <w:color w:val="404040" w:themeColor="text1" w:themeTint="BF"/>
    </w:rPr>
  </w:style>
  <w:style w:type="paragraph" w:styleId="Paragrafoelenco">
    <w:name w:val="List Paragraph"/>
    <w:basedOn w:val="Normale"/>
    <w:uiPriority w:val="34"/>
    <w:qFormat/>
    <w:rsid w:val="00C26803"/>
    <w:pPr>
      <w:ind w:left="720"/>
      <w:contextualSpacing/>
    </w:pPr>
  </w:style>
  <w:style w:type="character" w:styleId="Enfasiintensa">
    <w:name w:val="Intense Emphasis"/>
    <w:basedOn w:val="Carpredefinitoparagrafo"/>
    <w:uiPriority w:val="21"/>
    <w:qFormat/>
    <w:rsid w:val="00C26803"/>
    <w:rPr>
      <w:i/>
      <w:iCs/>
      <w:color w:val="365F91" w:themeColor="accent1" w:themeShade="BF"/>
    </w:rPr>
  </w:style>
  <w:style w:type="paragraph" w:styleId="Citazioneintensa">
    <w:name w:val="Intense Quote"/>
    <w:basedOn w:val="Normale"/>
    <w:next w:val="Normale"/>
    <w:link w:val="CitazioneintensaCarattere"/>
    <w:uiPriority w:val="30"/>
    <w:qFormat/>
    <w:rsid w:val="00C2680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zioneintensaCarattere">
    <w:name w:val="Citazione intensa Carattere"/>
    <w:basedOn w:val="Carpredefinitoparagrafo"/>
    <w:link w:val="Citazioneintensa"/>
    <w:uiPriority w:val="30"/>
    <w:rsid w:val="00C26803"/>
    <w:rPr>
      <w:i/>
      <w:iCs/>
      <w:color w:val="365F91" w:themeColor="accent1" w:themeShade="BF"/>
    </w:rPr>
  </w:style>
  <w:style w:type="character" w:styleId="Riferimentointenso">
    <w:name w:val="Intense Reference"/>
    <w:basedOn w:val="Carpredefinitoparagrafo"/>
    <w:uiPriority w:val="32"/>
    <w:qFormat/>
    <w:rsid w:val="00C26803"/>
    <w:rPr>
      <w:b/>
      <w:bCs/>
      <w:smallCaps/>
      <w:color w:val="365F91" w:themeColor="accent1" w:themeShade="BF"/>
      <w:spacing w:val="5"/>
    </w:rPr>
  </w:style>
  <w:style w:type="paragraph" w:styleId="Intestazione">
    <w:name w:val="header"/>
    <w:basedOn w:val="Normale"/>
    <w:link w:val="IntestazioneCarattere"/>
    <w:uiPriority w:val="99"/>
    <w:unhideWhenUsed/>
    <w:rsid w:val="00F767D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67D6"/>
    <w:rPr>
      <w:sz w:val="24"/>
      <w:szCs w:val="24"/>
    </w:rPr>
  </w:style>
  <w:style w:type="paragraph" w:styleId="Pidipagina">
    <w:name w:val="footer"/>
    <w:basedOn w:val="Normale"/>
    <w:link w:val="PidipaginaCarattere"/>
    <w:uiPriority w:val="99"/>
    <w:unhideWhenUsed/>
    <w:rsid w:val="00F767D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67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2395</Words>
  <Characters>13652</Characters>
  <Application>Microsoft Office Word</Application>
  <DocSecurity>0</DocSecurity>
  <Lines>113</Lines>
  <Paragraphs>32</Paragraphs>
  <ScaleCrop>false</ScaleCrop>
  <Company>HP</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capuozzo</dc:creator>
  <cp:keywords/>
  <dc:description/>
  <cp:lastModifiedBy>v capuozzo</cp:lastModifiedBy>
  <cp:revision>2</cp:revision>
  <dcterms:created xsi:type="dcterms:W3CDTF">2026-04-27T20:49:00Z</dcterms:created>
  <dcterms:modified xsi:type="dcterms:W3CDTF">2026-04-27T20:58:00Z</dcterms:modified>
</cp:coreProperties>
</file>