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B2A70" w14:textId="77777777" w:rsidR="00F9562D" w:rsidRDefault="000A271F">
      <w:pPr>
        <w:spacing w:after="40"/>
      </w:pPr>
      <w:r>
        <w:rPr>
          <w:b/>
          <w:bCs/>
          <w:sz w:val="24"/>
          <w:szCs w:val="24"/>
        </w:rPr>
        <w:t>Consiglio Regionale della Campania</w:t>
      </w:r>
    </w:p>
    <w:p w14:paraId="7677DF0E" w14:textId="77777777" w:rsidR="00F9562D" w:rsidRDefault="00F9562D">
      <w:pPr>
        <w:spacing w:after="200"/>
      </w:pPr>
    </w:p>
    <w:p w14:paraId="6FB50A27" w14:textId="77777777" w:rsidR="00F9562D" w:rsidRDefault="000A271F">
      <w:pPr>
        <w:spacing w:after="40"/>
      </w:pPr>
      <w:r>
        <w:rPr>
          <w:b/>
          <w:bCs/>
          <w:sz w:val="24"/>
          <w:szCs w:val="24"/>
        </w:rPr>
        <w:t>Proposta di legge</w:t>
      </w:r>
    </w:p>
    <w:p w14:paraId="0F5373EE" w14:textId="77777777" w:rsidR="00F9562D" w:rsidRDefault="000A271F">
      <w:pPr>
        <w:spacing w:after="40"/>
      </w:pPr>
      <w:r>
        <w:rPr>
          <w:b/>
          <w:bCs/>
          <w:sz w:val="22"/>
          <w:szCs w:val="22"/>
        </w:rPr>
        <w:t>A iniziativa del Consigliere Franco Picarone</w:t>
      </w:r>
    </w:p>
    <w:p w14:paraId="0F932B62" w14:textId="77777777" w:rsidR="00F9562D" w:rsidRDefault="000A271F">
      <w:pPr>
        <w:spacing w:after="40"/>
      </w:pPr>
      <w:r>
        <w:rPr>
          <w:i/>
          <w:iCs/>
        </w:rPr>
        <w:t>"Misure per la promozione, la governance e l'uso responsabile dell'intelligenza artificiale e istituzione dell'Osservatorio Regionale per l'Intelligenza Artificiale della Campania (ORIAC)"</w:t>
      </w:r>
    </w:p>
    <w:p w14:paraId="1BF411BD" w14:textId="77777777" w:rsidR="00F9562D" w:rsidRDefault="00F9562D">
      <w:pPr>
        <w:spacing w:after="160"/>
      </w:pPr>
    </w:p>
    <w:p w14:paraId="7D594FE8" w14:textId="77777777" w:rsidR="00F9562D" w:rsidRDefault="000A271F">
      <w:pPr>
        <w:spacing w:after="40"/>
        <w:jc w:val="center"/>
      </w:pPr>
      <w:r>
        <w:rPr>
          <w:b/>
          <w:bCs/>
          <w:sz w:val="28"/>
          <w:szCs w:val="28"/>
        </w:rPr>
        <w:t>Scheda AIR</w:t>
      </w:r>
    </w:p>
    <w:p w14:paraId="665B65B9" w14:textId="77777777" w:rsidR="00F9562D" w:rsidRDefault="000A271F">
      <w:pPr>
        <w:spacing w:after="280"/>
        <w:jc w:val="center"/>
      </w:pPr>
      <w:r>
        <w:rPr>
          <w:b/>
          <w:bCs/>
          <w:sz w:val="24"/>
          <w:szCs w:val="24"/>
        </w:rPr>
        <w:t>Analisi di Impatto della Regolamentazione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160"/>
      </w:tblGrid>
      <w:tr w:rsidR="00F9562D" w14:paraId="656A04BF"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5B5A6084" w14:textId="77777777" w:rsidR="00F9562D" w:rsidRDefault="000A271F">
            <w:r>
              <w:rPr>
                <w:b/>
                <w:bCs/>
              </w:rPr>
              <w:t>SEZIONI</w:t>
            </w:r>
          </w:p>
        </w:tc>
        <w:tc>
          <w:tcPr>
            <w:tcW w:w="716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3535A0E3" w14:textId="77777777" w:rsidR="00F9562D" w:rsidRDefault="000A271F">
            <w:r>
              <w:rPr>
                <w:b/>
                <w:bCs/>
              </w:rPr>
              <w:t>CONTENUTI</w:t>
            </w:r>
          </w:p>
        </w:tc>
      </w:tr>
      <w:tr w:rsidR="00F9562D" w14:paraId="7987100F"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2F44FCE3" w14:textId="77777777" w:rsidR="00F9562D" w:rsidRDefault="000A271F">
            <w:r>
              <w:rPr>
                <w:b/>
                <w:bCs/>
              </w:rPr>
              <w:t>Sezione 1 - Contesto e obiettivi dell'intervento di regolamentazione</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04A660B8" w14:textId="77777777" w:rsidR="00F9562D" w:rsidRDefault="000A271F">
            <w:pPr>
              <w:spacing w:after="100" w:line="264" w:lineRule="auto"/>
              <w:jc w:val="both"/>
            </w:pPr>
            <w:r>
              <w:rPr>
                <w:b/>
                <w:bCs/>
              </w:rPr>
              <w:t>a)</w:t>
            </w:r>
            <w:r>
              <w:t xml:space="preserve"> Rappresentazione del problema da risolvere e delle criticità constatate, anche con riferimento al contesto internazionale ed europeo, nonché delle esigenze sociali ed economiche considerate.</w:t>
            </w:r>
          </w:p>
          <w:p w14:paraId="7DD9148F" w14:textId="77777777" w:rsidR="00F9562D" w:rsidRDefault="000A271F">
            <w:pPr>
              <w:spacing w:after="120" w:line="264" w:lineRule="auto"/>
              <w:jc w:val="both"/>
            </w:pPr>
            <w:r>
              <w:t>La diffusione dei sistemi di intelligenza artificiale ha registrato, negli ultimi anni, un'accelerazione che investe pubbliche amministrazioni, imprese, sistema della ricerca e cittadini, in assenza, a livello regionale, di un presidio tecnico-scientifico stabile capace di monitorarne l'evoluzione, valutarne gli impatti e orientare le politiche pubbliche di conseguenza. Il Regolamento (UE) 2024/1689 ("AI Act") e la legge 23 settembre 2025, n. 132 definiscono il quadro europeo e nazionale, ma non esauriscono</w:t>
            </w:r>
            <w:r>
              <w:t xml:space="preserve"> l'esigenza di una capacità di analisi e di raccordo a livello territoriale, in particolare con riferimento alle specificità del sistema produttivo, sanitario, agricolo e della ricerca campano.</w:t>
            </w:r>
          </w:p>
          <w:p w14:paraId="0BF6A81D" w14:textId="77777777" w:rsidR="00F9562D" w:rsidRDefault="000A271F">
            <w:pPr>
              <w:spacing w:after="120" w:line="264" w:lineRule="auto"/>
              <w:jc w:val="both"/>
            </w:pPr>
            <w:r>
              <w:t xml:space="preserve">Sul piano comparato, la Toscana (legge regionale 9 dicembre 2024, n. 57) e la Puglia (legge regionale 14 aprile 2025, n. 4) hanno già adottato strumenti normativi regionali in materia di innovazione digitale e intelligenza artificiale, evidenziando </w:t>
            </w:r>
            <w:proofErr w:type="gramStart"/>
            <w:r>
              <w:t>un trend</w:t>
            </w:r>
            <w:proofErr w:type="gramEnd"/>
            <w:r>
              <w:t xml:space="preserve"> che la Regione Campania non ha ancora seguito. L'assenza di un organismo dedicato espone il territorio al rischio di un'adozione poco governata delle tecnologie di intelligenza artificiale, con possibili effetti negativi sui diritti fondamentali, sulla qualità dei servizi pubblici, sui livelli occupazionali e sulla competitività del sistema produttivo regionale, e impedisce una programmazione consapevole delle opportunità connesse a ricerca, trasferimento tecnologico e formazione.</w:t>
            </w:r>
          </w:p>
          <w:p w14:paraId="109C253F" w14:textId="77777777" w:rsidR="00F9562D" w:rsidRDefault="000A271F">
            <w:pPr>
              <w:spacing w:after="100" w:line="264" w:lineRule="auto"/>
              <w:jc w:val="both"/>
            </w:pPr>
            <w:r>
              <w:rPr>
                <w:b/>
                <w:bCs/>
              </w:rPr>
              <w:t>b)</w:t>
            </w:r>
            <w:r>
              <w:t xml:space="preserve"> Indicazione degli obiettivi perseguiti con l'intervento normativo.</w:t>
            </w:r>
          </w:p>
          <w:p w14:paraId="514DAB04" w14:textId="77777777" w:rsidR="00F9562D" w:rsidRDefault="000A271F">
            <w:pPr>
              <w:spacing w:after="120" w:line="264" w:lineRule="auto"/>
              <w:jc w:val="both"/>
            </w:pPr>
            <w:r>
              <w:t>L'intervento persegue gli obiettivi enunciati all'articolo 1, comma 3, della proposta di legge: monitorare l'evoluzione e l'impatto dei sistemi di intelligenza artificiale nel territorio regionale; promuovere ricerca, innovazione e trasferimento tecnologico, valorizzando le competenze presenti in Campania; favorire l'adozione consapevole dei sistemi di intelligenza artificiale nel rispetto dei diritti fondamentali, della trasparenza e della supervisione umana; sostenere la diffusione delle competenze e dell</w:t>
            </w:r>
            <w:r>
              <w:t>a cultura digitale; favorire la collaborazione tra università, enti di ricerca, imprese, pubbliche amministrazioni e società civile; promuovere l'attenzione alla sostenibilità ambientale delle infrastrutture digitali e di calcolo.</w:t>
            </w:r>
          </w:p>
          <w:p w14:paraId="2BA69D15" w14:textId="77777777" w:rsidR="00F9562D" w:rsidRDefault="000A271F">
            <w:pPr>
              <w:spacing w:after="100" w:line="264" w:lineRule="auto"/>
              <w:jc w:val="both"/>
            </w:pPr>
            <w:r>
              <w:rPr>
                <w:b/>
                <w:bCs/>
              </w:rPr>
              <w:lastRenderedPageBreak/>
              <w:t>c)</w:t>
            </w:r>
            <w:r>
              <w:t xml:space="preserve"> Descrizione degli indicatori che consentono di verificare il grado di raggiungimento degli obiettivi indicati e di monitorare l'attuazione dell'intervento nell'ambito della VIR.</w:t>
            </w:r>
          </w:p>
          <w:p w14:paraId="31E5064C" w14:textId="77777777" w:rsidR="00F9562D" w:rsidRDefault="000A271F">
            <w:pPr>
              <w:spacing w:after="120" w:line="264" w:lineRule="auto"/>
              <w:jc w:val="both"/>
            </w:pPr>
            <w:r>
              <w:t>Ai fini della verifica dell'attuazione e dell'efficacia dell'intervento, anche in sede di clausola valutativa di cui all'articolo 14 della proposta, si individuano i seguenti indicatori: il rispetto dei termini di costituzione degli organi dell'ORIAC fissati dalle disposizioni transitorie; il numero di pareri, studi e raccomandazioni adottati annualmente dall'Osservatorio; il numero di pubbliche amministrazioni regionali e locali che hanno adottato linee di indirizzo o partecipato a percorsi formativi promo</w:t>
            </w:r>
            <w:r>
              <w:t>ssi dall'ORIAC; il numero di progetti pilota e sperimentazioni controllate avviati; il numero di iniziative di formazione e alfabetizzazione realizzate e il numero di destinatari raggiunti; il numero di segnalazioni ricevute attraverso il portale istituzionale e il relativo esito; il livello di utilizzo delle risorse del Fondo rispetto alla dotazione autorizzata; gli esiti delle valutazioni esterne indipendenti con cadenza triennale.</w:t>
            </w:r>
          </w:p>
          <w:p w14:paraId="3A2F5904" w14:textId="77777777" w:rsidR="00F9562D" w:rsidRDefault="000A271F">
            <w:pPr>
              <w:spacing w:after="100" w:line="264" w:lineRule="auto"/>
              <w:jc w:val="both"/>
            </w:pPr>
            <w:r>
              <w:rPr>
                <w:b/>
                <w:bCs/>
              </w:rPr>
              <w:t>d)</w:t>
            </w:r>
            <w:r>
              <w:t xml:space="preserve"> Indicazione delle categorie di soggetti, pubblici e privati, destinatari dei principali effetti dell'intervento regolatorio.</w:t>
            </w:r>
          </w:p>
          <w:p w14:paraId="4576CC43" w14:textId="77777777" w:rsidR="00F9562D" w:rsidRDefault="000A271F">
            <w:pPr>
              <w:spacing w:after="120" w:line="264" w:lineRule="auto"/>
              <w:jc w:val="both"/>
            </w:pPr>
            <w:r>
              <w:t>Sono destinatari dei principali effetti dell'intervento: la Giunta regionale e il Consiglio regionale, quali soggetti istituzionali beneficiari dell'attività di supporto tecnico-scientifico dell'ORIAC; le pubbliche amministrazioni regionali e locali, in qualità di destinatarie di linee di indirizzo, percorsi formativi e strumenti di supporto all'adozione responsabile dell'intelligenza artificiale; le università, gli enti pubblici di ricerca e le istituzioni scientifiche campane, in qualità di partecipanti a</w:t>
            </w:r>
            <w:r>
              <w:t>l Consiglio Scientifico e alle attività di ricerca e trasferimento tecnologico; le imprese, con particolare riguardo alle micro, piccole e medie imprese, destinatarie di iniziative di aggiornamento delle competenze e di sostegno all'innovazione; i cittadini, gli studenti, i lavoratori e le categorie a maggior rischio di esclusione digitale, destinatari delle iniziative di formazione, alfabetizzazione e diffusione culturale; il Consiglio delle autonomie locali, il CNR, l'INFN e Confindustria Campania, in qua</w:t>
            </w:r>
            <w:r>
              <w:t>lità di componenti del Tavolo di raccordo istituzionale e territoriale.</w:t>
            </w:r>
          </w:p>
        </w:tc>
      </w:tr>
      <w:tr w:rsidR="00F9562D" w14:paraId="3716573A"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4D801AF7" w14:textId="77777777" w:rsidR="00F9562D" w:rsidRDefault="000A271F">
            <w:r>
              <w:rPr>
                <w:b/>
                <w:bCs/>
              </w:rPr>
              <w:lastRenderedPageBreak/>
              <w:t>Sezione 2 - Procedure di consultazione precedenti l'intervento</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469757F6" w14:textId="77777777" w:rsidR="00F9562D" w:rsidRDefault="000A271F">
            <w:pPr>
              <w:spacing w:after="120" w:line="264" w:lineRule="auto"/>
              <w:jc w:val="both"/>
            </w:pPr>
            <w:r>
              <w:t>Nella fase di elaborazione della proposta sono state tenute in considerazione le posizioni emerse nel dibattito pubblico nazionale sulla governance dell'intelligenza artificiale, con particolare riferimento agli interventi resi nell'ambito di iniziative promosse dal Partito Democratico e dal relativo Laboratorio di Politiche Tecnologiche, nonché al contributo scientifico offerto in sede pubblica dal Prof. Giorgio Parisi. Non sono state svolte, allo stato, consultazioni formali con i portatori di interesse d</w:t>
            </w:r>
            <w:r>
              <w:t xml:space="preserve">el territorio campano (università, enti di ricerca, organizzazioni imprenditoriali e sindacali, ordini professionali). Si ritiene opportuno che, nel corso dell'esame consiliare, la commissione competente proceda all'audizione delle principali rappresentanze del sistema universitario, della ricerca e del sistema produttivo regionale, anche in considerazione della prevista partecipazione del Consiglio delle autonomie locali, del CNR, dell'INFN e di Confindustria Campania al Tavolo di raccordo istituzionale e </w:t>
            </w:r>
            <w:r>
              <w:t>territoriale dell'ORIAC.</w:t>
            </w:r>
          </w:p>
        </w:tc>
      </w:tr>
      <w:tr w:rsidR="00F9562D" w14:paraId="747E3C38"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6F1D2442" w14:textId="77777777" w:rsidR="00F9562D" w:rsidRDefault="000A271F">
            <w:r>
              <w:rPr>
                <w:b/>
                <w:bCs/>
              </w:rPr>
              <w:lastRenderedPageBreak/>
              <w:t>Sezione 3 - Valutazione dell'opzione di non intervento di regolamentazione (opzione zero)</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4C04F029" w14:textId="77777777" w:rsidR="00F9562D" w:rsidRDefault="000A271F">
            <w:pPr>
              <w:spacing w:after="120" w:line="264" w:lineRule="auto"/>
              <w:jc w:val="both"/>
            </w:pPr>
            <w:r>
              <w:t>L'opzione di non intervento comporterebbe il mantenimento dell'attuale assenza, a livello regionale, di un presidio tecnico-scientifico dedicato all'intelligenza artificiale, lasciando alla sola iniziativa di ciascuna amministrazione, università o impresa la valutazione e l'adozione di sistemi di intelligenza artificiale, senza un raccordo unitario, senza linee di indirizzo condivise e senza un monitoraggio sistematico degli impatti sul territorio. Tale opzione, sebbene priva di oneri immediati per il bilan</w:t>
            </w:r>
            <w:r>
              <w:t>cio regionale, esporrebbe la Regione al rischio di un'adozione disomogenea e non governata delle tecnologie, con possibili effetti negativi sulla tutela dei diritti fondamentali, sulla qualità dei servizi pubblici digitalizzati, sulla capacità di attrarre investimenti e programmi di ricerca europei, e sulla competitività del sistema regionale rispetto ad altre realtà territoriali, italiane ed europee, che si sono già dotate di analoghi strumenti di governance. L'opzione zero non è stata pertanto ritenuta ad</w:t>
            </w:r>
            <w:r>
              <w:t>eguata al perseguimento degli obiettivi indicati nella Sezione 1.</w:t>
            </w:r>
          </w:p>
        </w:tc>
      </w:tr>
      <w:tr w:rsidR="00F9562D" w14:paraId="5B4A5C62"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29D91CB1" w14:textId="77777777" w:rsidR="00F9562D" w:rsidRDefault="000A271F">
            <w:r>
              <w:rPr>
                <w:b/>
                <w:bCs/>
              </w:rPr>
              <w:t xml:space="preserve">Sezione 4 - </w:t>
            </w:r>
            <w:proofErr w:type="gramStart"/>
            <w:r>
              <w:rPr>
                <w:b/>
                <w:bCs/>
              </w:rPr>
              <w:t>Opzioni alternative</w:t>
            </w:r>
            <w:proofErr w:type="gramEnd"/>
            <w:r>
              <w:rPr>
                <w:b/>
                <w:bCs/>
              </w:rPr>
              <w:t xml:space="preserve"> all'intervento regolatorio</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092E7EF5" w14:textId="77777777" w:rsidR="00F9562D" w:rsidRDefault="000A271F">
            <w:pPr>
              <w:spacing w:after="120" w:line="264" w:lineRule="auto"/>
              <w:jc w:val="both"/>
            </w:pPr>
            <w:r>
              <w:t xml:space="preserve">Sono state valutate, in via comparativa, le seguenti </w:t>
            </w:r>
            <w:proofErr w:type="gramStart"/>
            <w:r>
              <w:t>opzioni alternative</w:t>
            </w:r>
            <w:proofErr w:type="gramEnd"/>
            <w:r>
              <w:t xml:space="preserve"> all'istituzione di un organismo tecnico-scientifico dedicato: l'attribuzione delle relative funzioni a strutture amministrative regionali già esistenti, senza creazione di un organismo dedicato; l'adozione di meri atti di indirizzo della Giunta regionale, privi di base legislativa; l'istituzione dell'Osservatorio presso la Giunta regionale, anziché presso il Consiglio regionale.</w:t>
            </w:r>
          </w:p>
          <w:p w14:paraId="57C92983" w14:textId="77777777" w:rsidR="00F9562D" w:rsidRDefault="000A271F">
            <w:pPr>
              <w:spacing w:after="120" w:line="264" w:lineRule="auto"/>
              <w:jc w:val="both"/>
            </w:pPr>
            <w:r>
              <w:t>La prima opzione è stata esclusa in quanto non garantirebbe il livello di competenza tecnico-scientifica specialistica e di pluralismo disciplinare che la materia richiede, né la necessaria autonomia funzionale rispetto alle strutture amministrative ordinarie. La seconda opzione è stata esclusa in quanto priverebbe l'intervento della stabilità, della trasparenza e delle garanzie procedurali proprie di una fonte legislativa, in particolare con riguardo alla composizione degli organi, alla gratuità delle cari</w:t>
            </w:r>
            <w:r>
              <w:t>che e alla clausola valutativa. La terza opzione, pur prospettabile, è stata superata in favore della collocazione dell'Osservatorio presso il Consiglio regionale, ritenuta preferibile per valorizzare il ruolo dell'Assemblea legislativa nella governance di un fenomeno trasversale alle politiche regionali e per garantire un più diretto raccordo con le funzioni di controllo e di indirizzo proprie del Consiglio.</w:t>
            </w:r>
          </w:p>
        </w:tc>
      </w:tr>
      <w:tr w:rsidR="00F9562D" w14:paraId="4DD3C085"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4EC6F49E" w14:textId="77777777" w:rsidR="00F9562D" w:rsidRDefault="000A271F">
            <w:r>
              <w:rPr>
                <w:b/>
                <w:bCs/>
              </w:rPr>
              <w:t>Sezione 5 - Giustificazione dell'opzione regolatoria proposta e valutazione degli oneri amministrativi e dell'impatto sulle PMI</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41A32325" w14:textId="77777777" w:rsidR="00F9562D" w:rsidRDefault="000A271F">
            <w:pPr>
              <w:spacing w:after="100" w:line="264" w:lineRule="auto"/>
              <w:jc w:val="both"/>
            </w:pPr>
            <w:r>
              <w:rPr>
                <w:b/>
                <w:bCs/>
              </w:rPr>
              <w:t>a)</w:t>
            </w:r>
            <w:r>
              <w:t xml:space="preserve"> Svantaggi e vantaggi dell'opzione prescelta per i destinatari diretti e indiretti.</w:t>
            </w:r>
          </w:p>
          <w:p w14:paraId="2A8822CD" w14:textId="77777777" w:rsidR="00F9562D" w:rsidRDefault="000A271F">
            <w:pPr>
              <w:spacing w:after="120" w:line="264" w:lineRule="auto"/>
              <w:jc w:val="both"/>
            </w:pPr>
            <w:r>
              <w:t>L'opzione prescelta presenta, quale principale vantaggio, la creazione di un presidio tecnico-scientifico permanente, capace di orientare le politiche regionali sull'intelligenza artificiale con continuità e competenza specialistica, di raccordare i diversi soggetti istituzionali, scientifici e produttivi del territorio, e di garantire trasparenza e rendicontazione periodica delle attività svolte. Per le pubbliche amministrazioni regionali e locali, il vantaggio consiste nella disponibilità di linee di indi</w:t>
            </w:r>
            <w:r>
              <w:t xml:space="preserve">rizzo, percorsi formativi e strumenti di supporto altrimenti non disponibili. Per le imprese e il sistema della ricerca, il vantaggio consiste nel sostegno al trasferimento tecnologico e nella facilitazione dell'accesso a programmi europei. Quale svantaggio, si segnala l'onere finanziario, comunque contenuto, posto a carico del bilancio regionale, e la necessità di un periodo di avvio per la </w:t>
            </w:r>
            <w:r>
              <w:lastRenderedPageBreak/>
              <w:t>piena operatività dell'Osservatorio, mitigata dai termini stringenti fissati dalle disposizioni transitorie.</w:t>
            </w:r>
          </w:p>
          <w:p w14:paraId="43ABDC94" w14:textId="77777777" w:rsidR="00F9562D" w:rsidRDefault="000A271F">
            <w:pPr>
              <w:spacing w:after="100" w:line="264" w:lineRule="auto"/>
              <w:jc w:val="both"/>
            </w:pPr>
            <w:r>
              <w:rPr>
                <w:b/>
                <w:bCs/>
              </w:rPr>
              <w:t>b)</w:t>
            </w:r>
            <w:r>
              <w:t xml:space="preserve"> Individuazione e stima degli effetti dell'opzione prescelta sulle micro, piccole e medie imprese.</w:t>
            </w:r>
          </w:p>
          <w:p w14:paraId="3339E5E5" w14:textId="77777777" w:rsidR="00F9562D" w:rsidRDefault="000A271F">
            <w:pPr>
              <w:spacing w:after="120" w:line="264" w:lineRule="auto"/>
              <w:jc w:val="both"/>
            </w:pPr>
            <w:r>
              <w:t>La proposta non impone obblighi, adempimenti o oneri amministrativi diretti a carico delle micro, piccole e medie imprese. Gli effetti attesi sono di segno positivo, in quanto l'articolo 11 prevede iniziative di sostegno alla qualificazione delle competenze in materia di intelligenza artificiale con particolare attenzione alle micro, piccole e medie imprese, oltre a misure di trasferimento tecnologico, partecipazione a programmi europei e sostegno a start-up e spin-off, a carattere esclusivamente promoziona</w:t>
            </w:r>
            <w:r>
              <w:t>le e non vincolante.</w:t>
            </w:r>
          </w:p>
          <w:p w14:paraId="4F354AA5" w14:textId="77777777" w:rsidR="00F9562D" w:rsidRDefault="000A271F">
            <w:pPr>
              <w:spacing w:after="100" w:line="264" w:lineRule="auto"/>
              <w:jc w:val="both"/>
            </w:pPr>
            <w:r>
              <w:rPr>
                <w:b/>
                <w:bCs/>
              </w:rPr>
              <w:t>c)</w:t>
            </w:r>
            <w:r>
              <w:t xml:space="preserve"> Indicazione e stima degli oneri informativi e dei relativi costi amministrativi, introdotti o eliminati a carico dei cittadini e delle imprese.</w:t>
            </w:r>
          </w:p>
          <w:p w14:paraId="4A7D8E95" w14:textId="77777777" w:rsidR="00F9562D" w:rsidRDefault="000A271F">
            <w:pPr>
              <w:spacing w:after="120" w:line="264" w:lineRule="auto"/>
              <w:jc w:val="both"/>
            </w:pPr>
            <w:r>
              <w:t>La proposta non introduce nuovi oneri informativi obbligatori a carico di cittadini e imprese. Lo strumento di segnalazione previsto dall'articolo 9 ha natura volontaria e non costituisce adempimento amministrativo, ricorso o istanza di accertamento, né comporta conservazione o trasmissione obbligatoria di documenti alla pubblica amministrazione. Non sono pertanto stimabili costi amministrativi aggiuntivi né eliminazioni di oneri preesistenti, in assenza di una disciplina regionale pregressa in materia.</w:t>
            </w:r>
          </w:p>
        </w:tc>
      </w:tr>
      <w:tr w:rsidR="00F9562D" w14:paraId="5A1B661E"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4F8D98B7" w14:textId="77777777" w:rsidR="00F9562D" w:rsidRDefault="000A271F">
            <w:r>
              <w:rPr>
                <w:b/>
                <w:bCs/>
              </w:rPr>
              <w:lastRenderedPageBreak/>
              <w:t>Sezione 6 - Incidenza sul corretto funzionamento concorrenziale del mercato sulla competitività regionale, nonché sulle politiche giovanili</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06287BA0" w14:textId="77777777" w:rsidR="00F9562D" w:rsidRDefault="000A271F">
            <w:pPr>
              <w:spacing w:after="120" w:line="264" w:lineRule="auto"/>
              <w:jc w:val="both"/>
            </w:pPr>
            <w:r>
              <w:t>La proposta non incide sul funzionamento del mercato, sulla libera concorrenza tra le imprese e sulle forme di imprenditorialità, anche giovanili. Le misure di sostegno alla ricerca, all'innovazione e al trasferimento tecnologico previste agli articoli 5 e 11 hanno carattere generale, non selettivo e non discriminatorio, e sono attuate nel rispetto della disciplina europea e nazionale in materia di aiuti di Stato e di concorrenza. Sotto il profilo delle politiche giovanili, la proposta può determinare effet</w:t>
            </w:r>
            <w:r>
              <w:t>ti indirettamente positivi, in quanto le iniziative di formazione e alfabetizzazione di cui all'articolo 12 sono rivolte, tra l'altro, a studenti di ogni ordine e grado, e le misure di cui all'articolo 11 favoriscono la nascita di start-up e spin-off innovativi, suscettibili di offrire opportunità occupazionali e di impresa per i giovani.</w:t>
            </w:r>
          </w:p>
        </w:tc>
      </w:tr>
      <w:tr w:rsidR="00F9562D" w14:paraId="4EAB9BC8"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68296131" w14:textId="77777777" w:rsidR="00F9562D" w:rsidRDefault="000A271F">
            <w:r>
              <w:rPr>
                <w:b/>
                <w:bCs/>
              </w:rPr>
              <w:t>Sezione 7 - Modalità attuative dell'intervento di regolamentazione</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16827BE8" w14:textId="77777777" w:rsidR="00F9562D" w:rsidRDefault="000A271F">
            <w:pPr>
              <w:spacing w:after="100" w:line="264" w:lineRule="auto"/>
              <w:jc w:val="both"/>
            </w:pPr>
            <w:r>
              <w:rPr>
                <w:b/>
                <w:bCs/>
              </w:rPr>
              <w:t>a)</w:t>
            </w:r>
            <w:r>
              <w:t xml:space="preserve"> Soggetti responsabili dell'attuazione dell'intervento regolatorio.</w:t>
            </w:r>
          </w:p>
          <w:p w14:paraId="26D8245C" w14:textId="77777777" w:rsidR="00F9562D" w:rsidRDefault="000A271F">
            <w:pPr>
              <w:spacing w:after="120" w:line="264" w:lineRule="auto"/>
              <w:jc w:val="both"/>
            </w:pPr>
            <w:r>
              <w:t>Sono responsabili dell'attuazione dell'intervento: il Presidente del Consiglio regionale, cui competono, ai sensi degli articoli 6, 7 e 16 della proposta, la nomina del Presidente dell'ORIAC, dei componenti del Consiglio Scientifico e l'approvazione del regolamento di organizzazione e funzionamento; il Presidente dell'ORIAC, responsabile del funzionamento ordinario dell'Osservatorio e della presentazione del Rapporto annuale; la Giunta regionale, competente per l'approvazione dell'Agenda strategica triennal</w:t>
            </w:r>
            <w:r>
              <w:t>e e per la trasmissione al Consiglio regionale della relazione sullo stato di attuazione della legge; le strutture regionali competenti in materia di innovazione, ricerca e transizione digitale, che assicurano il supporto organizzativo e strumentale all'Osservatorio.</w:t>
            </w:r>
          </w:p>
          <w:p w14:paraId="4CF7B649" w14:textId="77777777" w:rsidR="00F9562D" w:rsidRDefault="000A271F">
            <w:pPr>
              <w:spacing w:after="100" w:line="264" w:lineRule="auto"/>
              <w:jc w:val="both"/>
            </w:pPr>
            <w:r>
              <w:rPr>
                <w:b/>
                <w:bCs/>
              </w:rPr>
              <w:t>b)</w:t>
            </w:r>
            <w:r>
              <w:t xml:space="preserve"> Azioni per la pubblicità e per l'informazione dell'intervento.</w:t>
            </w:r>
          </w:p>
          <w:p w14:paraId="5618F8B1" w14:textId="77777777" w:rsidR="00F9562D" w:rsidRDefault="000A271F">
            <w:pPr>
              <w:spacing w:after="120" w:line="264" w:lineRule="auto"/>
              <w:jc w:val="both"/>
            </w:pPr>
            <w:r>
              <w:t xml:space="preserve">La pubblicità e l'informazione sull'intervento sono assicurate, ai sensi degli articoli 9 e 12 della proposta, mediante il portale istituzionale dedicato </w:t>
            </w:r>
            <w:r>
              <w:lastRenderedPageBreak/>
              <w:t>all'intelligenza artificiale, la pubblicazione di rapporti, pareri e materiali divulgativi, e lo sviluppo di campagne di comunicazione istituzionale e di iniziative di alfabetizzazione rivolte a cittadini, imprese, pubbliche amministrazioni e categorie a maggior rischio di esclusione digitale.</w:t>
            </w:r>
          </w:p>
          <w:p w14:paraId="170986E7" w14:textId="77777777" w:rsidR="00F9562D" w:rsidRDefault="000A271F">
            <w:pPr>
              <w:spacing w:after="100" w:line="264" w:lineRule="auto"/>
              <w:jc w:val="both"/>
            </w:pPr>
            <w:r>
              <w:rPr>
                <w:b/>
                <w:bCs/>
              </w:rPr>
              <w:t>c)</w:t>
            </w:r>
            <w:r>
              <w:t xml:space="preserve"> Strumenti e modalità per il controllo e il monitoraggio dell'intervento regolatorio.</w:t>
            </w:r>
          </w:p>
          <w:p w14:paraId="63891545" w14:textId="77777777" w:rsidR="00F9562D" w:rsidRDefault="000A271F">
            <w:pPr>
              <w:spacing w:after="120" w:line="264" w:lineRule="auto"/>
              <w:jc w:val="both"/>
            </w:pPr>
            <w:r>
              <w:t>Il controllo e il monitoraggio sono assicurati dal Rapporto annuale del Presidente dell'ORIAC al Consiglio e alla Giunta regionale (articolo 8), dalla clausola valutativa di cui all'articolo 14, che prevede una relazione triennale e successivamente annuale sullo stato di attuazione della legge, e dalla valutazione esterna indipendente con cadenza triennale, i cui risultati sono pubblicati nel portale istituzionale. Concorrono al monitoraggio anche il rendiconto annuale delle attività e delle risorse utilizz</w:t>
            </w:r>
            <w:r>
              <w:t>ate di cui all'articolo 13 e lo strumento di segnalazione di cui all'articolo 9.</w:t>
            </w:r>
          </w:p>
          <w:p w14:paraId="1D01F19A" w14:textId="77777777" w:rsidR="00F9562D" w:rsidRDefault="000A271F">
            <w:pPr>
              <w:spacing w:after="100" w:line="264" w:lineRule="auto"/>
              <w:jc w:val="both"/>
            </w:pPr>
            <w:r>
              <w:rPr>
                <w:b/>
                <w:bCs/>
              </w:rPr>
              <w:t>d)</w:t>
            </w:r>
            <w:r>
              <w:t xml:space="preserve"> Meccanismi previsti per la revisione dell'intervento regolatorio.</w:t>
            </w:r>
          </w:p>
          <w:p w14:paraId="6E9E6C3F" w14:textId="77777777" w:rsidR="00F9562D" w:rsidRDefault="000A271F">
            <w:pPr>
              <w:spacing w:after="120" w:line="264" w:lineRule="auto"/>
              <w:jc w:val="both"/>
            </w:pPr>
            <w:r>
              <w:t>La revisione dell'intervento è assicurata, in via ordinaria, dall'aggiornamento triennale dell'Agenda strategica di cui all'articolo 8 e dalle eventuali proposte di modifica normativa, organizzativa o finanziaria che la Giunta regionale può formulare al Consiglio regionale nell'ambito della relazione di cui all'articolo 14. La natura non regolatoria e non sanzionatoria dell'Osservatorio, unita alla previsione di un regolamento di organizzazione e funzionamento adottabile con decreto del Presidente del Consi</w:t>
            </w:r>
            <w:r>
              <w:t>glio regionale, consente inoltre un adeguamento flessibile dell'assetto organizzativo dell'ORIAC all'evoluzione tecnologica e normativa, senza necessità di nuovi interventi legislativi per gli aspetti meramente organizzativi.</w:t>
            </w:r>
          </w:p>
        </w:tc>
      </w:tr>
      <w:tr w:rsidR="00F9562D" w14:paraId="42DA3636" w14:textId="77777777">
        <w:tblPrEx>
          <w:tblCellMar>
            <w:top w:w="0" w:type="dxa"/>
            <w:bottom w:w="0" w:type="dxa"/>
          </w:tblCellMar>
        </w:tblPrEx>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28841AE7" w14:textId="77777777" w:rsidR="00F9562D" w:rsidRDefault="000A271F">
            <w:r>
              <w:rPr>
                <w:b/>
                <w:bCs/>
              </w:rPr>
              <w:lastRenderedPageBreak/>
              <w:t>Sezione 8 - Rispetto dei livelli minimi di regolazione europea</w:t>
            </w:r>
          </w:p>
        </w:tc>
        <w:tc>
          <w:tcPr>
            <w:tcW w:w="7160" w:type="dxa"/>
            <w:tcBorders>
              <w:top w:val="single" w:sz="4" w:space="0" w:color="000000"/>
              <w:left w:val="single" w:sz="4" w:space="0" w:color="000000"/>
              <w:bottom w:val="single" w:sz="4" w:space="0" w:color="000000"/>
              <w:right w:val="single" w:sz="4" w:space="0" w:color="000000"/>
            </w:tcBorders>
            <w:tcMar>
              <w:top w:w="120" w:type="dxa"/>
              <w:left w:w="150" w:type="dxa"/>
              <w:bottom w:w="120" w:type="dxa"/>
              <w:right w:w="150" w:type="dxa"/>
            </w:tcMar>
          </w:tcPr>
          <w:p w14:paraId="6F08E230" w14:textId="77777777" w:rsidR="00F9562D" w:rsidRDefault="000A271F">
            <w:pPr>
              <w:spacing w:after="120" w:line="264" w:lineRule="auto"/>
              <w:jc w:val="both"/>
            </w:pPr>
            <w:r>
              <w:t>La proposta non introduce livelli di regolazione superiori a quelli minimi previsti dal diritto dell'Unione europea, né duplica gli obblighi stabiliti dal Regolamento (UE) 2024/1689 ("AI Act"). Come precisato all'articolo 2 della proposta, le definizioni tecnico-scientifiche utilizzate non introducono categorie giuridiche ulteriori rispetto a quelle del diritto dell'Unione, e la qualificazione giuridica dei sistemi di intelligenza artificiale, inclusa l'eventuale classificazione come sistemi ad alto rischio</w:t>
            </w:r>
            <w:r>
              <w:t>, resta interamente affidata al Regolamento (UE) 2024/1689 e alle disposizioni nazionali di attuazione. L'ORIAC non esercita funzioni di vigilanza, controllo, certificazione obbligatoria o sanzionatorie, che restano in capo alle autorità europee, nazionali e indipendenti competenti, ai sensi dell'articolo 5, comma 3, della proposta. L'intervento regionale si colloca pertanto in un ambito di promozione, supporto e raccordo istituzionale, complementare e non sovrapposto al quadro regolatorio europeo.</w:t>
            </w:r>
          </w:p>
        </w:tc>
      </w:tr>
    </w:tbl>
    <w:p w14:paraId="485E8950" w14:textId="77777777" w:rsidR="000A271F" w:rsidRDefault="000A271F"/>
    <w:sectPr w:rsidR="000A271F">
      <w:pgSz w:w="11906" w:h="16838"/>
      <w:pgMar w:top="1134" w:right="1247" w:bottom="1134" w:left="124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4589"/>
    <w:multiLevelType w:val="hybridMultilevel"/>
    <w:tmpl w:val="95EE6226"/>
    <w:lvl w:ilvl="0" w:tplc="A6C4175C">
      <w:start w:val="1"/>
      <w:numFmt w:val="bullet"/>
      <w:lvlText w:val="●"/>
      <w:lvlJc w:val="left"/>
      <w:pPr>
        <w:ind w:left="720" w:hanging="360"/>
      </w:pPr>
    </w:lvl>
    <w:lvl w:ilvl="1" w:tplc="8FE84BC0">
      <w:start w:val="1"/>
      <w:numFmt w:val="bullet"/>
      <w:lvlText w:val="○"/>
      <w:lvlJc w:val="left"/>
      <w:pPr>
        <w:ind w:left="1440" w:hanging="360"/>
      </w:pPr>
    </w:lvl>
    <w:lvl w:ilvl="2" w:tplc="88A25378">
      <w:start w:val="1"/>
      <w:numFmt w:val="bullet"/>
      <w:lvlText w:val="■"/>
      <w:lvlJc w:val="left"/>
      <w:pPr>
        <w:ind w:left="2160" w:hanging="360"/>
      </w:pPr>
    </w:lvl>
    <w:lvl w:ilvl="3" w:tplc="AE686BBE">
      <w:start w:val="1"/>
      <w:numFmt w:val="bullet"/>
      <w:lvlText w:val="●"/>
      <w:lvlJc w:val="left"/>
      <w:pPr>
        <w:ind w:left="2880" w:hanging="360"/>
      </w:pPr>
    </w:lvl>
    <w:lvl w:ilvl="4" w:tplc="E17E64C8">
      <w:start w:val="1"/>
      <w:numFmt w:val="bullet"/>
      <w:lvlText w:val="○"/>
      <w:lvlJc w:val="left"/>
      <w:pPr>
        <w:ind w:left="3600" w:hanging="360"/>
      </w:pPr>
    </w:lvl>
    <w:lvl w:ilvl="5" w:tplc="BE8EFB52">
      <w:start w:val="1"/>
      <w:numFmt w:val="bullet"/>
      <w:lvlText w:val="■"/>
      <w:lvlJc w:val="left"/>
      <w:pPr>
        <w:ind w:left="4320" w:hanging="360"/>
      </w:pPr>
    </w:lvl>
    <w:lvl w:ilvl="6" w:tplc="076276E8">
      <w:start w:val="1"/>
      <w:numFmt w:val="bullet"/>
      <w:lvlText w:val="●"/>
      <w:lvlJc w:val="left"/>
      <w:pPr>
        <w:ind w:left="5040" w:hanging="360"/>
      </w:pPr>
    </w:lvl>
    <w:lvl w:ilvl="7" w:tplc="1B7A937A">
      <w:start w:val="1"/>
      <w:numFmt w:val="bullet"/>
      <w:lvlText w:val="●"/>
      <w:lvlJc w:val="left"/>
      <w:pPr>
        <w:ind w:left="5760" w:hanging="360"/>
      </w:pPr>
    </w:lvl>
    <w:lvl w:ilvl="8" w:tplc="370E85C0">
      <w:start w:val="1"/>
      <w:numFmt w:val="bullet"/>
      <w:lvlText w:val="●"/>
      <w:lvlJc w:val="left"/>
      <w:pPr>
        <w:ind w:left="6480" w:hanging="360"/>
      </w:pPr>
    </w:lvl>
  </w:abstractNum>
  <w:num w:numId="1" w16cid:durableId="14110786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2D"/>
    <w:rsid w:val="000A271F"/>
    <w:rsid w:val="003F547A"/>
    <w:rsid w:val="00E671E1"/>
    <w:rsid w:val="00F956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D63E8"/>
  <w15:docId w15:val="{69E17ECE-96BE-4F16-8217-2F95FBD0D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customStyle="1" w:styleId="TestonotadichiusuraCarattere">
    <w:name w:val="Testo nota di chiusura Carattere"/>
    <w:link w:val="Testonotadichiusur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2461</Words>
  <Characters>14033</Characters>
  <Application>Microsoft Office Word</Application>
  <DocSecurity>4</DocSecurity>
  <Lines>116</Lines>
  <Paragraphs>32</Paragraphs>
  <ScaleCrop>false</ScaleCrop>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Picarone Francesco</cp:lastModifiedBy>
  <cp:revision>2</cp:revision>
  <dcterms:created xsi:type="dcterms:W3CDTF">2026-06-24T13:03:00Z</dcterms:created>
  <dcterms:modified xsi:type="dcterms:W3CDTF">2026-06-24T13:03:00Z</dcterms:modified>
</cp:coreProperties>
</file>