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7C9D" w14:textId="77777777" w:rsidR="00EF32A8" w:rsidRPr="00AC77C0" w:rsidRDefault="00EF32A8" w:rsidP="000E0B86">
      <w:pPr>
        <w:spacing w:after="60" w:line="276" w:lineRule="auto"/>
        <w:jc w:val="center"/>
        <w:rPr>
          <w:rFonts w:asciiTheme="minorHAnsi" w:eastAsia="Century Schoolbook" w:hAnsiTheme="minorHAnsi" w:cstheme="minorHAnsi"/>
          <w:smallCaps/>
        </w:rPr>
      </w:pPr>
    </w:p>
    <w:p w14:paraId="7050E2C2"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3C20A4D7"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524D0ECE"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6D761A44"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416F805B" w14:textId="77777777" w:rsidR="00EF32A8" w:rsidRPr="00AC77C0" w:rsidRDefault="00AA77FF" w:rsidP="000E0B86">
      <w:pPr>
        <w:spacing w:after="60" w:line="276" w:lineRule="auto"/>
        <w:jc w:val="center"/>
        <w:rPr>
          <w:rFonts w:asciiTheme="minorHAnsi" w:eastAsia="Century Schoolbook" w:hAnsiTheme="minorHAnsi" w:cstheme="minorHAnsi"/>
          <w:smallCaps/>
        </w:rPr>
      </w:pPr>
      <w:r w:rsidRPr="00AC77C0">
        <w:rPr>
          <w:rFonts w:asciiTheme="minorHAnsi" w:eastAsia="Century Schoolbook" w:hAnsiTheme="minorHAnsi" w:cstheme="minorHAnsi"/>
          <w:smallCaps/>
        </w:rPr>
        <w:t>Proposta di Legge</w:t>
      </w:r>
    </w:p>
    <w:p w14:paraId="6D9BFD7F" w14:textId="77777777" w:rsidR="00EF32A8" w:rsidRPr="00AC77C0" w:rsidRDefault="00EF32A8" w:rsidP="000E0B86">
      <w:pPr>
        <w:spacing w:after="60" w:line="276" w:lineRule="auto"/>
        <w:jc w:val="center"/>
        <w:rPr>
          <w:rFonts w:asciiTheme="minorHAnsi" w:eastAsia="Century Schoolbook" w:hAnsiTheme="minorHAnsi" w:cstheme="minorHAnsi"/>
        </w:rPr>
      </w:pPr>
    </w:p>
    <w:p w14:paraId="1539667A" w14:textId="5737F6B4" w:rsidR="00AC77C0" w:rsidRPr="00AC77C0" w:rsidRDefault="00C419E2" w:rsidP="00AC77C0">
      <w:pPr>
        <w:spacing w:after="60" w:line="276" w:lineRule="auto"/>
        <w:jc w:val="center"/>
        <w:rPr>
          <w:rFonts w:ascii="Calibri" w:eastAsia="Century Schoolbook" w:hAnsi="Calibri" w:cs="Calibri"/>
          <w:b/>
          <w:bCs/>
        </w:rPr>
      </w:pPr>
      <w:r w:rsidRPr="00C419E2">
        <w:rPr>
          <w:rFonts w:ascii="Calibri" w:eastAsia="Century Schoolbook" w:hAnsi="Calibri" w:cs="Calibri"/>
          <w:b/>
          <w:bCs/>
        </w:rPr>
        <w:t>Norme per la prevenzione e il contrasto dello sfruttamento lavorativo e del caporalato in agricoltura, per l’emersione del lavoro irregolare e la tutela delle vittime</w:t>
      </w:r>
    </w:p>
    <w:p w14:paraId="561D1988" w14:textId="77777777" w:rsidR="00AC77C0" w:rsidRPr="00AC77C0" w:rsidRDefault="00AC77C0" w:rsidP="00AC77C0">
      <w:pPr>
        <w:spacing w:after="60" w:line="276" w:lineRule="auto"/>
        <w:jc w:val="center"/>
        <w:rPr>
          <w:rFonts w:ascii="Calibri" w:eastAsia="Century Schoolbook" w:hAnsi="Calibri" w:cs="Calibri"/>
          <w:b/>
          <w:bCs/>
        </w:rPr>
      </w:pPr>
    </w:p>
    <w:p w14:paraId="35694DA0" w14:textId="77777777" w:rsidR="00AC77C0" w:rsidRPr="00AC77C0" w:rsidRDefault="00AC77C0" w:rsidP="00AC77C0">
      <w:pPr>
        <w:spacing w:after="60" w:line="276" w:lineRule="auto"/>
        <w:jc w:val="center"/>
        <w:rPr>
          <w:rFonts w:ascii="Calibri" w:eastAsia="Century Schoolbook" w:hAnsi="Calibri" w:cs="Calibri"/>
        </w:rPr>
      </w:pPr>
      <w:r w:rsidRPr="00AC77C0">
        <w:rPr>
          <w:rFonts w:ascii="Calibri" w:eastAsia="Century Schoolbook" w:hAnsi="Calibri" w:cs="Calibri"/>
        </w:rPr>
        <w:t>A iniziativa del Consigliere</w:t>
      </w:r>
    </w:p>
    <w:p w14:paraId="23D3B716" w14:textId="77777777" w:rsidR="00AC77C0" w:rsidRPr="00AC77C0" w:rsidRDefault="00AC77C0" w:rsidP="00AC77C0">
      <w:pPr>
        <w:spacing w:after="60" w:line="276" w:lineRule="auto"/>
        <w:jc w:val="center"/>
        <w:rPr>
          <w:rFonts w:ascii="Calibri" w:eastAsia="Century Schoolbook" w:hAnsi="Calibri" w:cs="Calibri"/>
        </w:rPr>
      </w:pPr>
      <w:r w:rsidRPr="00AC77C0">
        <w:rPr>
          <w:rFonts w:ascii="Calibri" w:eastAsia="Century Schoolbook" w:hAnsi="Calibri" w:cs="Calibri"/>
        </w:rPr>
        <w:t>Raffaele Aveta</w:t>
      </w:r>
    </w:p>
    <w:p w14:paraId="12770AB3" w14:textId="77777777" w:rsidR="006B39A4" w:rsidRPr="00AC77C0" w:rsidRDefault="006B39A4" w:rsidP="000E0B86">
      <w:pPr>
        <w:spacing w:after="60" w:line="276" w:lineRule="auto"/>
        <w:jc w:val="center"/>
        <w:rPr>
          <w:rFonts w:asciiTheme="minorHAnsi" w:eastAsia="Century Schoolbook" w:hAnsiTheme="minorHAnsi" w:cstheme="minorHAnsi"/>
        </w:rPr>
      </w:pPr>
    </w:p>
    <w:p w14:paraId="2CA080E7" w14:textId="77777777" w:rsidR="006B39A4" w:rsidRPr="00AC77C0" w:rsidRDefault="006B39A4" w:rsidP="000E0B86">
      <w:pPr>
        <w:spacing w:after="60" w:line="276" w:lineRule="auto"/>
        <w:jc w:val="center"/>
        <w:rPr>
          <w:rFonts w:asciiTheme="minorHAnsi" w:eastAsia="Century Schoolbook" w:hAnsiTheme="minorHAnsi" w:cstheme="minorHAnsi"/>
        </w:rPr>
      </w:pPr>
    </w:p>
    <w:p w14:paraId="31560FA2" w14:textId="77777777" w:rsidR="006B39A4" w:rsidRPr="00AC77C0" w:rsidRDefault="006B39A4" w:rsidP="000E0B86">
      <w:pPr>
        <w:spacing w:after="60" w:line="276" w:lineRule="auto"/>
        <w:jc w:val="center"/>
        <w:rPr>
          <w:rFonts w:asciiTheme="minorHAnsi" w:hAnsiTheme="minorHAnsi" w:cstheme="minorHAnsi"/>
          <w:smallCaps/>
        </w:rPr>
      </w:pPr>
      <w:r w:rsidRPr="00AC77C0">
        <w:rPr>
          <w:rFonts w:asciiTheme="minorHAnsi" w:hAnsiTheme="minorHAnsi" w:cstheme="minorHAnsi"/>
          <w:smallCaps/>
        </w:rPr>
        <w:t>Scheda AIR</w:t>
      </w:r>
    </w:p>
    <w:p w14:paraId="6D3CB9F3" w14:textId="363822AE" w:rsidR="000F57AE" w:rsidRPr="00AC77C0" w:rsidRDefault="006B39A4" w:rsidP="000E0B86">
      <w:pPr>
        <w:spacing w:after="60" w:line="276" w:lineRule="auto"/>
        <w:jc w:val="center"/>
        <w:rPr>
          <w:rFonts w:asciiTheme="minorHAnsi" w:hAnsiTheme="minorHAnsi" w:cstheme="minorHAnsi"/>
          <w:smallCaps/>
        </w:rPr>
      </w:pPr>
      <w:r w:rsidRPr="00AC77C0">
        <w:rPr>
          <w:rFonts w:asciiTheme="minorHAnsi" w:hAnsiTheme="minorHAnsi" w:cstheme="minorHAnsi"/>
          <w:smallCaps/>
        </w:rPr>
        <w:t>Analisi di Impatto della Regolamentazione</w:t>
      </w:r>
    </w:p>
    <w:p w14:paraId="229736DE" w14:textId="77777777" w:rsidR="000F57AE" w:rsidRPr="00AC77C0" w:rsidRDefault="000F57AE" w:rsidP="000E0B86">
      <w:pPr>
        <w:spacing w:after="60" w:line="276" w:lineRule="auto"/>
        <w:rPr>
          <w:rFonts w:asciiTheme="minorHAnsi" w:hAnsiTheme="minorHAnsi" w:cstheme="minorHAnsi"/>
          <w:smallCaps/>
        </w:rPr>
      </w:pPr>
      <w:r w:rsidRPr="00AC77C0">
        <w:rPr>
          <w:rFonts w:asciiTheme="minorHAnsi" w:hAnsiTheme="minorHAnsi" w:cstheme="minorHAnsi"/>
          <w:smallCaps/>
        </w:rPr>
        <w:br w:type="page"/>
      </w:r>
    </w:p>
    <w:p w14:paraId="65BD9CE0" w14:textId="77777777" w:rsidR="006B39A4" w:rsidRPr="00AC77C0" w:rsidRDefault="006B39A4" w:rsidP="000E0B86">
      <w:pPr>
        <w:spacing w:after="60" w:line="276" w:lineRule="auto"/>
        <w:rPr>
          <w:rFonts w:asciiTheme="minorHAnsi" w:hAnsiTheme="minorHAnsi" w:cstheme="minorHAnsi"/>
          <w:smallCaps/>
        </w:rPr>
        <w:sectPr w:rsidR="006B39A4" w:rsidRPr="00AC77C0" w:rsidSect="00BE3A9B">
          <w:headerReference w:type="default" r:id="rId9"/>
          <w:footerReference w:type="default" r:id="rId10"/>
          <w:headerReference w:type="first" r:id="rId11"/>
          <w:pgSz w:w="11906" w:h="16838" w:code="9"/>
          <w:pgMar w:top="1418" w:right="1134" w:bottom="1134" w:left="1134" w:header="709" w:footer="709" w:gutter="0"/>
          <w:pgNumType w:start="0"/>
          <w:cols w:space="720"/>
          <w:titlePg/>
        </w:sectPr>
      </w:pPr>
    </w:p>
    <w:tbl>
      <w:tblPr>
        <w:tblStyle w:val="Grigliatabella1"/>
        <w:tblW w:w="5000" w:type="pct"/>
        <w:jc w:val="center"/>
        <w:tblCellMar>
          <w:top w:w="57" w:type="dxa"/>
          <w:bottom w:w="57" w:type="dxa"/>
        </w:tblCellMar>
        <w:tblLook w:val="04A0" w:firstRow="1" w:lastRow="0" w:firstColumn="1" w:lastColumn="0" w:noHBand="0" w:noVBand="1"/>
      </w:tblPr>
      <w:tblGrid>
        <w:gridCol w:w="2688"/>
        <w:gridCol w:w="6940"/>
      </w:tblGrid>
      <w:tr w:rsidR="00CF702E" w:rsidRPr="00AC77C0" w14:paraId="6FC32E61" w14:textId="77777777" w:rsidTr="00FE7BCE">
        <w:trPr>
          <w:jc w:val="center"/>
        </w:trPr>
        <w:tc>
          <w:tcPr>
            <w:tcW w:w="1396" w:type="pct"/>
            <w:vAlign w:val="center"/>
          </w:tcPr>
          <w:p w14:paraId="3B9A7620" w14:textId="77777777" w:rsidR="00CF702E" w:rsidRPr="00AC77C0" w:rsidRDefault="00CF702E" w:rsidP="00AC77C0">
            <w:pPr>
              <w:spacing w:line="276" w:lineRule="auto"/>
              <w:jc w:val="center"/>
              <w:rPr>
                <w:rFonts w:eastAsia="Calibri" w:cstheme="minorHAnsi"/>
                <w:b/>
                <w:sz w:val="24"/>
                <w:szCs w:val="24"/>
                <w:lang w:eastAsia="it-IT"/>
              </w:rPr>
            </w:pPr>
            <w:bookmarkStart w:id="0" w:name="_heading=h.30j0zll" w:colFirst="0" w:colLast="0"/>
            <w:bookmarkEnd w:id="0"/>
            <w:r w:rsidRPr="00AC77C0">
              <w:rPr>
                <w:rFonts w:eastAsia="Calibri" w:cstheme="minorHAnsi"/>
                <w:b/>
                <w:sz w:val="24"/>
                <w:szCs w:val="24"/>
                <w:lang w:eastAsia="it-IT"/>
              </w:rPr>
              <w:lastRenderedPageBreak/>
              <w:t>SEZIONI</w:t>
            </w:r>
          </w:p>
        </w:tc>
        <w:tc>
          <w:tcPr>
            <w:tcW w:w="3604" w:type="pct"/>
            <w:vAlign w:val="center"/>
          </w:tcPr>
          <w:p w14:paraId="2FB28C75" w14:textId="77777777" w:rsidR="00CF702E" w:rsidRPr="00AC77C0" w:rsidRDefault="00CF702E" w:rsidP="00AC77C0">
            <w:pPr>
              <w:spacing w:line="276" w:lineRule="auto"/>
              <w:jc w:val="center"/>
              <w:rPr>
                <w:rFonts w:eastAsia="Calibri" w:cstheme="minorHAnsi"/>
                <w:b/>
                <w:sz w:val="24"/>
                <w:szCs w:val="24"/>
                <w:lang w:eastAsia="it-IT"/>
              </w:rPr>
            </w:pPr>
            <w:r w:rsidRPr="00AC77C0">
              <w:rPr>
                <w:rFonts w:eastAsia="Calibri" w:cstheme="minorHAnsi"/>
                <w:b/>
                <w:sz w:val="24"/>
                <w:szCs w:val="24"/>
                <w:lang w:eastAsia="it-IT"/>
              </w:rPr>
              <w:t>CONTENUTI</w:t>
            </w:r>
          </w:p>
        </w:tc>
      </w:tr>
      <w:tr w:rsidR="00CF702E" w:rsidRPr="00AC77C0" w14:paraId="3CE22AFE" w14:textId="77777777" w:rsidTr="00FE7BCE">
        <w:trPr>
          <w:jc w:val="center"/>
        </w:trPr>
        <w:tc>
          <w:tcPr>
            <w:tcW w:w="1396" w:type="pct"/>
            <w:vAlign w:val="center"/>
          </w:tcPr>
          <w:p w14:paraId="498F0F50" w14:textId="42E96659" w:rsidR="00E41D5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1</w:t>
            </w:r>
          </w:p>
          <w:p w14:paraId="2DD74330" w14:textId="0D05CBCB" w:rsidR="00FA730A"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Contesto e obiettivi dell’intervento di regolamentazione</w:t>
            </w:r>
          </w:p>
        </w:tc>
        <w:tc>
          <w:tcPr>
            <w:tcW w:w="3604" w:type="pct"/>
            <w:vAlign w:val="center"/>
          </w:tcPr>
          <w:p w14:paraId="370B9968" w14:textId="11C66268" w:rsidR="00D265E2" w:rsidRPr="00AC77C0" w:rsidRDefault="002D0746" w:rsidP="000E0B86">
            <w:pPr>
              <w:spacing w:after="60" w:line="276" w:lineRule="auto"/>
              <w:jc w:val="both"/>
              <w:rPr>
                <w:rFonts w:eastAsia="Times New Roman" w:cstheme="minorHAnsi"/>
                <w:sz w:val="24"/>
                <w:szCs w:val="24"/>
                <w:lang w:eastAsia="it-IT"/>
              </w:rPr>
            </w:pPr>
            <w:r w:rsidRPr="00AC77C0">
              <w:rPr>
                <w:rFonts w:eastAsia="Times New Roman" w:cstheme="minorHAnsi"/>
                <w:b/>
                <w:bCs/>
                <w:sz w:val="24"/>
                <w:szCs w:val="24"/>
                <w:lang w:eastAsia="it-IT"/>
              </w:rPr>
              <w:t xml:space="preserve">a) </w:t>
            </w:r>
            <w:r w:rsidR="000503FD" w:rsidRPr="00AC77C0">
              <w:rPr>
                <w:rFonts w:eastAsia="Times New Roman" w:cstheme="minorHAnsi"/>
                <w:b/>
                <w:bCs/>
                <w:sz w:val="24"/>
                <w:szCs w:val="24"/>
                <w:lang w:eastAsia="it-IT"/>
              </w:rPr>
              <w:t>R</w:t>
            </w:r>
            <w:r w:rsidRPr="00AC77C0">
              <w:rPr>
                <w:rFonts w:eastAsia="Times New Roman" w:cstheme="minorHAnsi"/>
                <w:b/>
                <w:bCs/>
                <w:sz w:val="24"/>
                <w:szCs w:val="24"/>
                <w:lang w:eastAsia="it-IT"/>
              </w:rPr>
              <w:t>appresentazione del problema da risolvere e delle criticità constatate, anche con riferimento al contesto internazionale ed europeo, nonché delle esigenze sociali ed economiche considerate</w:t>
            </w:r>
          </w:p>
          <w:p w14:paraId="22EA19AD" w14:textId="77777777" w:rsidR="00CB0BBC" w:rsidRPr="00CB0BBC" w:rsidRDefault="00CB0BBC" w:rsidP="00CB0BBC">
            <w:pPr>
              <w:spacing w:after="60" w:line="276" w:lineRule="auto"/>
              <w:jc w:val="both"/>
              <w:rPr>
                <w:rFonts w:eastAsia="Times New Roman" w:cstheme="minorHAnsi"/>
                <w:sz w:val="24"/>
                <w:szCs w:val="24"/>
                <w:lang w:eastAsia="it-IT"/>
              </w:rPr>
            </w:pPr>
            <w:r w:rsidRPr="00CB0BBC">
              <w:rPr>
                <w:rFonts w:eastAsia="Times New Roman" w:cstheme="minorHAnsi"/>
                <w:sz w:val="24"/>
                <w:szCs w:val="24"/>
                <w:lang w:eastAsia="it-IT"/>
              </w:rPr>
              <w:t>Lo sfruttamento lavorativo in agricoltura compromette la dignità dei lavoratori e la concorrenza tra le imprese. La stagionalità delle lavorazioni, le difficoltà di accesso al lavoro regolare e la dipendenza da intermediari per trasporto e alloggio possono accrescere l’esposizione agli abusi, soprattutto in presenza di ostacoli linguistici e condizioni di vulnerabilità sociale.</w:t>
            </w:r>
          </w:p>
          <w:p w14:paraId="11FC4EF6" w14:textId="09E7CECD" w:rsidR="000E1F5C" w:rsidRDefault="00CB0BBC" w:rsidP="00CB0BBC">
            <w:pPr>
              <w:spacing w:after="60" w:line="276" w:lineRule="auto"/>
              <w:jc w:val="both"/>
              <w:rPr>
                <w:rFonts w:eastAsia="Times New Roman" w:cstheme="minorHAnsi"/>
                <w:sz w:val="24"/>
                <w:szCs w:val="24"/>
                <w:lang w:eastAsia="it-IT"/>
              </w:rPr>
            </w:pPr>
            <w:r w:rsidRPr="00CB0BBC">
              <w:rPr>
                <w:rFonts w:eastAsia="Times New Roman" w:cstheme="minorHAnsi"/>
                <w:sz w:val="24"/>
                <w:szCs w:val="24"/>
                <w:lang w:eastAsia="it-IT"/>
              </w:rPr>
              <w:t>Nel quadro della legge n. 199 del 2016 e degli obiettivi europei di inclusione sociale e qualità del lavoro, la proposta integra gli strumenti regionali esistenti attraverso una programmazione periodica, servizi accessibili e condizioni per l’utilizzo delle risorse pubbliche. Il Tavolo regionale, già istituito con DGR n. 284 del 2021, costituisce la sede di coordinamento.</w:t>
            </w:r>
          </w:p>
          <w:p w14:paraId="367561DE" w14:textId="77777777" w:rsidR="00CB0BBC" w:rsidRPr="00AC77C0" w:rsidRDefault="00CB0BBC" w:rsidP="00CB0BBC">
            <w:pPr>
              <w:spacing w:after="60" w:line="276" w:lineRule="auto"/>
              <w:jc w:val="both"/>
              <w:rPr>
                <w:rFonts w:eastAsia="Times New Roman" w:cstheme="minorHAnsi"/>
                <w:sz w:val="24"/>
                <w:szCs w:val="24"/>
                <w:lang w:eastAsia="it-IT"/>
              </w:rPr>
            </w:pPr>
          </w:p>
          <w:p w14:paraId="0C39C4EA" w14:textId="77777777" w:rsidR="004D04E7" w:rsidRDefault="002D0746" w:rsidP="00A14A44">
            <w:pPr>
              <w:spacing w:after="60" w:line="276" w:lineRule="auto"/>
              <w:jc w:val="both"/>
              <w:rPr>
                <w:rFonts w:eastAsia="Times New Roman" w:cstheme="minorHAnsi"/>
                <w:sz w:val="24"/>
                <w:szCs w:val="24"/>
                <w:lang w:eastAsia="it-IT"/>
              </w:rPr>
            </w:pPr>
            <w:r w:rsidRPr="00AC77C0">
              <w:rPr>
                <w:rFonts w:eastAsia="Times New Roman" w:cstheme="minorHAnsi"/>
                <w:b/>
                <w:bCs/>
                <w:sz w:val="24"/>
                <w:szCs w:val="24"/>
                <w:lang w:eastAsia="it-IT"/>
              </w:rPr>
              <w:t>b) Indicazione degli obiettivi perseguiti con l’intervento normativo</w:t>
            </w:r>
          </w:p>
          <w:p w14:paraId="77B5F334" w14:textId="7DE318C2" w:rsidR="00A14A44" w:rsidRDefault="00F10FB6" w:rsidP="00A14A44">
            <w:pPr>
              <w:spacing w:after="60" w:line="276" w:lineRule="auto"/>
              <w:jc w:val="both"/>
              <w:rPr>
                <w:rFonts w:eastAsia="Times New Roman" w:cstheme="minorHAnsi"/>
                <w:b/>
                <w:bCs/>
                <w:sz w:val="24"/>
                <w:szCs w:val="24"/>
                <w:lang w:eastAsia="it-IT"/>
              </w:rPr>
            </w:pPr>
            <w:r w:rsidRPr="00F10FB6">
              <w:rPr>
                <w:rFonts w:cstheme="minorHAnsi"/>
                <w:sz w:val="24"/>
                <w:szCs w:val="24"/>
              </w:rPr>
              <w:t>L’intervento mira a favorire l’incontro pubblico e regolare tra domanda e offerta di lavoro; ridurre la dipendenza dai circuiti illeciti per trasporto e alloggio; assicurare protezione e accompagnamento all’autonomia; valorizzare le imprese regolari. Gli indici di coerenza della manodopera e la trasparenza delle esternalizzazioni collegano il sostegno regionale all’effettivo impiego di lavoro regolare. Mediazione linguistica e attenzione alle specifiche esigenze delle lavoratrici accompagnano l’attuazione delle misure.</w:t>
            </w:r>
          </w:p>
          <w:p w14:paraId="2661FBB6" w14:textId="77777777" w:rsidR="00A14A44" w:rsidRDefault="00A14A44" w:rsidP="00A14A44">
            <w:pPr>
              <w:spacing w:after="60" w:line="276" w:lineRule="auto"/>
              <w:jc w:val="both"/>
              <w:rPr>
                <w:rFonts w:eastAsia="Times New Roman" w:cstheme="minorHAnsi"/>
                <w:b/>
                <w:bCs/>
                <w:sz w:val="24"/>
                <w:szCs w:val="24"/>
                <w:lang w:eastAsia="it-IT"/>
              </w:rPr>
            </w:pPr>
          </w:p>
          <w:p w14:paraId="076E036B" w14:textId="77777777" w:rsidR="004D04E7" w:rsidRDefault="002D0746" w:rsidP="000E0B86">
            <w:pPr>
              <w:spacing w:after="60" w:line="276" w:lineRule="auto"/>
              <w:jc w:val="both"/>
              <w:rPr>
                <w:rFonts w:eastAsia="Times New Roman" w:cstheme="minorHAnsi"/>
                <w:sz w:val="24"/>
                <w:szCs w:val="24"/>
                <w:lang w:eastAsia="it-IT"/>
              </w:rPr>
            </w:pPr>
            <w:r w:rsidRPr="00A14A44">
              <w:rPr>
                <w:rFonts w:eastAsia="Times New Roman" w:cstheme="minorHAnsi"/>
                <w:b/>
                <w:bCs/>
                <w:sz w:val="24"/>
                <w:szCs w:val="24"/>
                <w:lang w:eastAsia="it-IT"/>
              </w:rPr>
              <w:t>c) Descrizione degli indicatori che consentono di verificare il grado di raggiungimento degli obiettivi indicati e di monitorare l’attuazione dell’intervento nell’ambito della VIR</w:t>
            </w:r>
          </w:p>
          <w:p w14:paraId="26ED349B" w14:textId="3A8B2743" w:rsidR="00A14A44" w:rsidRDefault="00A3774B" w:rsidP="000E0B86">
            <w:pPr>
              <w:spacing w:after="60" w:line="276" w:lineRule="auto"/>
              <w:jc w:val="both"/>
              <w:rPr>
                <w:rFonts w:cstheme="minorHAnsi"/>
                <w:sz w:val="24"/>
                <w:szCs w:val="24"/>
              </w:rPr>
            </w:pPr>
            <w:r w:rsidRPr="00A3774B">
              <w:rPr>
                <w:rFonts w:cstheme="minorHAnsi"/>
                <w:sz w:val="24"/>
                <w:szCs w:val="24"/>
              </w:rPr>
              <w:t xml:space="preserve">Il Piano definisce risultati attesi e indicatori. Il monitoraggio considera lavoratori e imprese che utilizzano i servizi per il lavoro; servizi di trasporto e accoglienza attivati e relativi utenti; persone prese in carico e avviate al reinserimento lavorativo; verifiche degli indici e relativi esiti; benefici concessi, sospesi o revocati; risorse impiegate. È </w:t>
            </w:r>
            <w:r w:rsidRPr="00A3774B">
              <w:rPr>
                <w:rFonts w:cstheme="minorHAnsi"/>
                <w:sz w:val="24"/>
                <w:szCs w:val="24"/>
              </w:rPr>
              <w:lastRenderedPageBreak/>
              <w:t>data distinta evidenza ai risultati relativi alle lavoratrici, secondo la clausola valutativa.</w:t>
            </w:r>
          </w:p>
          <w:p w14:paraId="78AB8FC4" w14:textId="77777777" w:rsidR="00A3774B" w:rsidRDefault="00A3774B" w:rsidP="000E0B86">
            <w:pPr>
              <w:spacing w:after="60" w:line="276" w:lineRule="auto"/>
              <w:jc w:val="both"/>
              <w:rPr>
                <w:rFonts w:eastAsia="Times New Roman" w:cstheme="minorHAnsi"/>
                <w:b/>
                <w:bCs/>
                <w:sz w:val="24"/>
                <w:szCs w:val="24"/>
                <w:lang w:eastAsia="it-IT"/>
              </w:rPr>
            </w:pPr>
          </w:p>
          <w:p w14:paraId="6732C571" w14:textId="77777777" w:rsidR="00645148" w:rsidRDefault="002D0746" w:rsidP="00645148">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d) Indicazione delle categorie dei soggetti, pubblici e privati, destinatari dei principali effetti dell’intervento regolatorio</w:t>
            </w:r>
          </w:p>
          <w:p w14:paraId="07CC1F87" w14:textId="31E988D3" w:rsidR="00FA730A" w:rsidRPr="00AC77C0" w:rsidRDefault="00645148" w:rsidP="00645148">
            <w:pPr>
              <w:spacing w:after="60" w:line="276" w:lineRule="auto"/>
              <w:jc w:val="both"/>
              <w:rPr>
                <w:rFonts w:cstheme="minorHAnsi"/>
                <w:sz w:val="24"/>
                <w:szCs w:val="24"/>
              </w:rPr>
            </w:pPr>
            <w:r w:rsidRPr="00645148">
              <w:rPr>
                <w:rFonts w:cstheme="minorHAnsi"/>
                <w:sz w:val="24"/>
                <w:szCs w:val="24"/>
              </w:rPr>
              <w:t>Sono destinatari i lavoratori e le imprese agricole, le vittime e le persone a rischio di sfruttamento. Sono coinvolti Regione, Centri per l’impiego, enti locali, Ambiti territoriali sociali, aziende sanitarie locali, sezioni territoriali della Rete del lavoro agricolo di qualità, organizzazioni sindacali e datoriali, patronati ed enti del Terzo settore.</w:t>
            </w:r>
          </w:p>
        </w:tc>
      </w:tr>
      <w:tr w:rsidR="00CF702E" w:rsidRPr="00AC77C0" w14:paraId="5A8EAB84" w14:textId="77777777" w:rsidTr="00FE7BCE">
        <w:trPr>
          <w:jc w:val="center"/>
        </w:trPr>
        <w:tc>
          <w:tcPr>
            <w:tcW w:w="1396" w:type="pct"/>
            <w:vAlign w:val="center"/>
          </w:tcPr>
          <w:p w14:paraId="1E2D42C8" w14:textId="62819CFB" w:rsidR="00FA730A"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2</w:t>
            </w:r>
          </w:p>
          <w:p w14:paraId="4B981C41" w14:textId="293CD7BD"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Procedure di consultazione precedenti l’intervento</w:t>
            </w:r>
          </w:p>
        </w:tc>
        <w:tc>
          <w:tcPr>
            <w:tcW w:w="3604" w:type="pct"/>
            <w:vAlign w:val="center"/>
          </w:tcPr>
          <w:p w14:paraId="2580D596" w14:textId="2D140B08" w:rsidR="00CF702E" w:rsidRPr="00AC77C0" w:rsidRDefault="00660AC6" w:rsidP="000E0B86">
            <w:pPr>
              <w:spacing w:after="60" w:line="276" w:lineRule="auto"/>
              <w:jc w:val="both"/>
              <w:rPr>
                <w:rFonts w:eastAsia="Times New Roman" w:cstheme="minorHAnsi"/>
                <w:sz w:val="24"/>
                <w:szCs w:val="24"/>
                <w:lang w:eastAsia="it-IT"/>
              </w:rPr>
            </w:pPr>
            <w:r w:rsidRPr="00660AC6">
              <w:rPr>
                <w:rFonts w:eastAsia="Times New Roman" w:cstheme="minorHAnsi"/>
                <w:sz w:val="24"/>
                <w:szCs w:val="24"/>
                <w:lang w:eastAsia="it-IT"/>
              </w:rPr>
              <w:t xml:space="preserve">La predisposizione della proposta è stata accompagnata da un confronto con </w:t>
            </w:r>
            <w:r w:rsidR="004B0505">
              <w:rPr>
                <w:rFonts w:eastAsia="Times New Roman" w:cstheme="minorHAnsi"/>
                <w:sz w:val="24"/>
                <w:szCs w:val="24"/>
                <w:lang w:eastAsia="it-IT"/>
              </w:rPr>
              <w:t>le organizzazioni sindacali</w:t>
            </w:r>
            <w:r w:rsidRPr="00660AC6">
              <w:rPr>
                <w:rFonts w:eastAsia="Times New Roman" w:cstheme="minorHAnsi"/>
                <w:sz w:val="24"/>
                <w:szCs w:val="24"/>
                <w:lang w:eastAsia="it-IT"/>
              </w:rPr>
              <w:t xml:space="preserve"> sugli interventi da introdurre. I contributi ricevuti hanno orientato, in particolare, la disciplina degli indici di coerenza della manodopera, il rafforzamento del collocamento pubblico e dei servizi di prossimità e le misure di tutela dei lavoratori. La proposta ne recepisce gli indirizzi nell’ambito delle competenze regionali.</w:t>
            </w:r>
          </w:p>
        </w:tc>
      </w:tr>
      <w:tr w:rsidR="00CF702E" w:rsidRPr="00AC77C0" w14:paraId="59A323B2" w14:textId="77777777" w:rsidTr="00FE7BCE">
        <w:trPr>
          <w:jc w:val="center"/>
        </w:trPr>
        <w:tc>
          <w:tcPr>
            <w:tcW w:w="1396" w:type="pct"/>
            <w:vAlign w:val="center"/>
          </w:tcPr>
          <w:p w14:paraId="3D34EA06" w14:textId="77777777" w:rsidR="00E41D5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3</w:t>
            </w:r>
          </w:p>
          <w:p w14:paraId="2E56C07E" w14:textId="68486AC5"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Valutazione dell’opzione di non intervento di regolamentazione (opzione zero)</w:t>
            </w:r>
          </w:p>
        </w:tc>
        <w:tc>
          <w:tcPr>
            <w:tcW w:w="3604" w:type="pct"/>
            <w:vAlign w:val="center"/>
          </w:tcPr>
          <w:p w14:paraId="51237DEF" w14:textId="4C95673A" w:rsidR="00CF702E" w:rsidRPr="00AC77C0" w:rsidRDefault="004532E2" w:rsidP="000E0B86">
            <w:pPr>
              <w:spacing w:after="60" w:line="276" w:lineRule="auto"/>
              <w:jc w:val="both"/>
              <w:rPr>
                <w:rFonts w:eastAsia="Calibri" w:cstheme="minorHAnsi"/>
                <w:sz w:val="24"/>
                <w:szCs w:val="24"/>
                <w:lang w:eastAsia="it-IT"/>
              </w:rPr>
            </w:pPr>
            <w:r w:rsidRPr="004532E2">
              <w:rPr>
                <w:rFonts w:eastAsia="Times New Roman" w:cstheme="minorHAnsi"/>
                <w:sz w:val="24"/>
                <w:szCs w:val="24"/>
                <w:lang w:eastAsia="it-IT"/>
              </w:rPr>
              <w:t>L’opzione zero manterrebbe gli strumenti e i programmi già operanti, senza introdurre il collegamento organico previsto dalla proposta tra programmazione, servizi, indici di coerenza e accesso ai benefici regionali. È ritenuta meno adeguata a garantire continuità agli interventi e una verifica periodica dei risultati, pur restando ferme le attività nazionali e regionali già in essere.</w:t>
            </w:r>
          </w:p>
        </w:tc>
      </w:tr>
      <w:tr w:rsidR="00CF702E" w:rsidRPr="00AC77C0" w14:paraId="6CA2794F" w14:textId="77777777" w:rsidTr="00FE7BCE">
        <w:trPr>
          <w:jc w:val="center"/>
        </w:trPr>
        <w:tc>
          <w:tcPr>
            <w:tcW w:w="1396" w:type="pct"/>
            <w:vAlign w:val="center"/>
          </w:tcPr>
          <w:p w14:paraId="40F5CF99" w14:textId="59DF93A7" w:rsidR="00AF077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4</w:t>
            </w:r>
          </w:p>
          <w:p w14:paraId="629D56C1" w14:textId="6DDC8C0D" w:rsidR="00CF702E" w:rsidRPr="00AC77C0" w:rsidRDefault="00CF702E" w:rsidP="000E0B86">
            <w:pPr>
              <w:spacing w:after="60" w:line="276" w:lineRule="auto"/>
              <w:jc w:val="center"/>
              <w:rPr>
                <w:rFonts w:eastAsia="Calibri" w:cstheme="minorHAnsi"/>
                <w:b/>
                <w:sz w:val="24"/>
                <w:szCs w:val="24"/>
                <w:highlight w:val="yellow"/>
                <w:lang w:eastAsia="it-IT"/>
              </w:rPr>
            </w:pPr>
            <w:r w:rsidRPr="00AC77C0">
              <w:rPr>
                <w:rFonts w:eastAsia="Calibri" w:cstheme="minorHAnsi"/>
                <w:b/>
                <w:sz w:val="24"/>
                <w:szCs w:val="24"/>
                <w:lang w:eastAsia="it-IT"/>
              </w:rPr>
              <w:t>Opzioni alternative</w:t>
            </w:r>
            <w:r w:rsidR="00146FD7" w:rsidRPr="00AC77C0">
              <w:rPr>
                <w:rFonts w:eastAsia="Calibri" w:cstheme="minorHAnsi"/>
                <w:b/>
                <w:sz w:val="24"/>
                <w:szCs w:val="24"/>
                <w:lang w:eastAsia="it-IT"/>
              </w:rPr>
              <w:t xml:space="preserve"> </w:t>
            </w:r>
            <w:r w:rsidRPr="00AC77C0">
              <w:rPr>
                <w:rFonts w:eastAsia="Calibri" w:cstheme="minorHAnsi"/>
                <w:b/>
                <w:sz w:val="24"/>
                <w:szCs w:val="24"/>
                <w:lang w:eastAsia="it-IT"/>
              </w:rPr>
              <w:t>all’intervento regolatorio</w:t>
            </w:r>
          </w:p>
        </w:tc>
        <w:tc>
          <w:tcPr>
            <w:tcW w:w="3604" w:type="pct"/>
            <w:vAlign w:val="center"/>
          </w:tcPr>
          <w:p w14:paraId="491603F4" w14:textId="555937C8" w:rsidR="00CF702E" w:rsidRPr="00AC77C0" w:rsidRDefault="00925610" w:rsidP="000E0B86">
            <w:pPr>
              <w:spacing w:after="60" w:line="276" w:lineRule="auto"/>
              <w:jc w:val="both"/>
              <w:rPr>
                <w:rFonts w:eastAsia="Times New Roman" w:cstheme="minorHAnsi"/>
                <w:sz w:val="24"/>
                <w:szCs w:val="24"/>
                <w:lang w:eastAsia="it-IT"/>
              </w:rPr>
            </w:pPr>
            <w:r w:rsidRPr="00925610">
              <w:rPr>
                <w:rFonts w:eastAsia="Times New Roman" w:cstheme="minorHAnsi"/>
                <w:sz w:val="24"/>
                <w:szCs w:val="24"/>
                <w:lang w:eastAsia="it-IT"/>
              </w:rPr>
              <w:t>Le alternative consistono nel rafforzamento dei soli programmi amministrativi esistenti o nell’introduzione di misure settoriali limitate ai servizi o agli incentivi. Tali soluzioni consentirebbero interventi mirati, ma offrirebbero minore stabilità e integrazione tra protezione dei lavoratori, trasparenza della manodopera e condizioni di accesso ai benefici. La proposta adotta un quadro unitario, affidando al Piano le scelte operative e mantenendo il Tavolo già esistente.</w:t>
            </w:r>
          </w:p>
        </w:tc>
      </w:tr>
      <w:tr w:rsidR="00CF702E" w:rsidRPr="00AC77C0" w14:paraId="0ECA8592" w14:textId="77777777" w:rsidTr="00FE7BCE">
        <w:trPr>
          <w:jc w:val="center"/>
        </w:trPr>
        <w:tc>
          <w:tcPr>
            <w:tcW w:w="1396" w:type="pct"/>
            <w:vAlign w:val="center"/>
          </w:tcPr>
          <w:p w14:paraId="7CAA6278" w14:textId="3A56F72B"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5</w:t>
            </w:r>
          </w:p>
          <w:p w14:paraId="3014CB74" w14:textId="5B58E732"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 xml:space="preserve">Giustificazione dell’opzione regolatoria proposta e valutazione </w:t>
            </w:r>
            <w:r w:rsidRPr="00AC77C0">
              <w:rPr>
                <w:rFonts w:eastAsia="Calibri" w:cstheme="minorHAnsi"/>
                <w:b/>
                <w:sz w:val="24"/>
                <w:szCs w:val="24"/>
                <w:lang w:eastAsia="it-IT"/>
              </w:rPr>
              <w:lastRenderedPageBreak/>
              <w:t>degli oneri amministrativi e dell’impatto sulle PMI</w:t>
            </w:r>
          </w:p>
        </w:tc>
        <w:tc>
          <w:tcPr>
            <w:tcW w:w="3604" w:type="pct"/>
            <w:vAlign w:val="center"/>
          </w:tcPr>
          <w:p w14:paraId="04967D29" w14:textId="77777777" w:rsidR="004D04E7" w:rsidRDefault="007B3157" w:rsidP="003C7CA1">
            <w:pPr>
              <w:spacing w:after="60" w:line="276" w:lineRule="auto"/>
              <w:jc w:val="both"/>
              <w:rPr>
                <w:rFonts w:cstheme="minorHAnsi"/>
                <w:sz w:val="24"/>
                <w:szCs w:val="24"/>
                <w:lang w:eastAsia="it-IT"/>
              </w:rPr>
            </w:pPr>
            <w:r w:rsidRPr="00AC77C0">
              <w:rPr>
                <w:rFonts w:cstheme="minorHAnsi"/>
                <w:b/>
                <w:bCs/>
                <w:sz w:val="24"/>
                <w:szCs w:val="24"/>
                <w:lang w:eastAsia="it-IT"/>
              </w:rPr>
              <w:lastRenderedPageBreak/>
              <w:t xml:space="preserve">a) </w:t>
            </w:r>
            <w:r w:rsidR="0061111A" w:rsidRPr="00AC77C0">
              <w:rPr>
                <w:rFonts w:cstheme="minorHAnsi"/>
                <w:b/>
                <w:bCs/>
                <w:sz w:val="24"/>
                <w:szCs w:val="24"/>
                <w:lang w:eastAsia="it-IT"/>
              </w:rPr>
              <w:t>S</w:t>
            </w:r>
            <w:r w:rsidR="00FF2D94" w:rsidRPr="00AC77C0">
              <w:rPr>
                <w:rFonts w:cstheme="minorHAnsi"/>
                <w:b/>
                <w:bCs/>
                <w:sz w:val="24"/>
                <w:szCs w:val="24"/>
                <w:lang w:eastAsia="it-IT"/>
              </w:rPr>
              <w:t xml:space="preserve">vantaggi </w:t>
            </w:r>
            <w:r w:rsidR="0061111A" w:rsidRPr="00AC77C0">
              <w:rPr>
                <w:rFonts w:cstheme="minorHAnsi"/>
                <w:b/>
                <w:bCs/>
                <w:sz w:val="24"/>
                <w:szCs w:val="24"/>
                <w:lang w:eastAsia="it-IT"/>
              </w:rPr>
              <w:t xml:space="preserve">e vantaggi </w:t>
            </w:r>
            <w:r w:rsidR="00FF2D94" w:rsidRPr="00AC77C0">
              <w:rPr>
                <w:rFonts w:cstheme="minorHAnsi"/>
                <w:b/>
                <w:bCs/>
                <w:sz w:val="24"/>
                <w:szCs w:val="24"/>
                <w:lang w:eastAsia="it-IT"/>
              </w:rPr>
              <w:t>dell’opzione prescelta</w:t>
            </w:r>
            <w:r w:rsidR="0061111A" w:rsidRPr="00AC77C0">
              <w:rPr>
                <w:rFonts w:cstheme="minorHAnsi"/>
                <w:b/>
                <w:bCs/>
                <w:sz w:val="24"/>
                <w:szCs w:val="24"/>
                <w:lang w:eastAsia="it-IT"/>
              </w:rPr>
              <w:t xml:space="preserve"> per i destinatari diretti e indiretti</w:t>
            </w:r>
          </w:p>
          <w:p w14:paraId="11C7BBDE" w14:textId="77777777" w:rsidR="00135B0C" w:rsidRPr="00135B0C" w:rsidRDefault="00135B0C" w:rsidP="00135B0C">
            <w:pPr>
              <w:spacing w:after="60" w:line="276" w:lineRule="auto"/>
              <w:jc w:val="both"/>
              <w:rPr>
                <w:rFonts w:cstheme="minorHAnsi"/>
                <w:sz w:val="24"/>
                <w:szCs w:val="24"/>
                <w:lang w:eastAsia="it-IT"/>
              </w:rPr>
            </w:pPr>
            <w:r w:rsidRPr="00135B0C">
              <w:rPr>
                <w:rFonts w:cstheme="minorHAnsi"/>
                <w:sz w:val="24"/>
                <w:szCs w:val="24"/>
                <w:lang w:eastAsia="it-IT"/>
              </w:rPr>
              <w:t xml:space="preserve">I benefici attesi riguardano l’accesso al lavoro regolare e ai servizi, la riduzione delle condizioni di dipendenza e la protezione delle vittime, </w:t>
            </w:r>
            <w:r w:rsidRPr="00135B0C">
              <w:rPr>
                <w:rFonts w:cstheme="minorHAnsi"/>
                <w:sz w:val="24"/>
                <w:szCs w:val="24"/>
                <w:lang w:eastAsia="it-IT"/>
              </w:rPr>
              <w:lastRenderedPageBreak/>
              <w:t>accessibile anche senza denuncia nei termini dell’articolo 7. Per le imprese regolari sono previste premialità e una maggiore tutela dalla concorrenza fondata sullo sfruttamento.</w:t>
            </w:r>
          </w:p>
          <w:p w14:paraId="220691F8" w14:textId="367EE70D" w:rsidR="008E683F" w:rsidRDefault="00135B0C" w:rsidP="00135B0C">
            <w:pPr>
              <w:spacing w:after="60" w:line="276" w:lineRule="auto"/>
              <w:jc w:val="both"/>
              <w:rPr>
                <w:rFonts w:cstheme="minorHAnsi"/>
                <w:sz w:val="24"/>
                <w:szCs w:val="24"/>
                <w:lang w:eastAsia="it-IT"/>
              </w:rPr>
            </w:pPr>
            <w:r w:rsidRPr="00135B0C">
              <w:rPr>
                <w:rFonts w:cstheme="minorHAnsi"/>
                <w:sz w:val="24"/>
                <w:szCs w:val="24"/>
                <w:lang w:eastAsia="it-IT"/>
              </w:rPr>
              <w:t>L’attuazione richiede attività amministrative, coordinamento e adempimenti documentali. Gli scostamenti non giustificati dagli indici incidono sui benefici regionali; il contraddittorio, la considerazione delle circostanze oggettive e la differenziazione degli indici consentono di tenere conto delle effettive condizioni aziendali.</w:t>
            </w:r>
          </w:p>
          <w:p w14:paraId="20D3441C" w14:textId="77777777" w:rsidR="00135B0C" w:rsidRPr="00AC77C0" w:rsidRDefault="00135B0C" w:rsidP="00135B0C">
            <w:pPr>
              <w:spacing w:after="60" w:line="276" w:lineRule="auto"/>
              <w:jc w:val="both"/>
              <w:rPr>
                <w:rFonts w:eastAsia="Times New Roman" w:cstheme="minorHAnsi"/>
                <w:b/>
                <w:bCs/>
                <w:sz w:val="24"/>
                <w:szCs w:val="24"/>
                <w:lang w:eastAsia="it-IT"/>
              </w:rPr>
            </w:pPr>
          </w:p>
          <w:p w14:paraId="3D3D66B3" w14:textId="011E7292" w:rsidR="0091463F" w:rsidRPr="00AC77C0" w:rsidRDefault="0091463F"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b) Individuazione e stima degli effetti dell’opzione prescelta sulle micro, piccole e medie imprese</w:t>
            </w:r>
          </w:p>
          <w:p w14:paraId="073D838D" w14:textId="15031729" w:rsidR="008E683F" w:rsidRDefault="00843119" w:rsidP="000E0B86">
            <w:pPr>
              <w:spacing w:after="60" w:line="276" w:lineRule="auto"/>
              <w:jc w:val="both"/>
              <w:rPr>
                <w:rFonts w:eastAsia="Times New Roman" w:cstheme="minorHAnsi"/>
                <w:sz w:val="24"/>
                <w:szCs w:val="24"/>
                <w:lang w:eastAsia="it-IT"/>
              </w:rPr>
            </w:pPr>
            <w:r w:rsidRPr="00843119">
              <w:rPr>
                <w:rFonts w:eastAsia="Times New Roman" w:cstheme="minorHAnsi"/>
                <w:sz w:val="24"/>
                <w:szCs w:val="24"/>
                <w:lang w:eastAsia="it-IT"/>
              </w:rPr>
              <w:t>Le imprese agricole di minori dimensioni possono beneficiare dei servizi pubblici di incontro tra domanda e offerta, dell’assistenza e delle premialità. Gli adempimenti connessi ai benefici possono incidere maggiormente sulle imprese con minore capacità amministrativa. La metodologia degli indici considera caratteristiche produttive, meccanizzazione e apporto regolare dell’imprenditore; il servizio digitale prevede forme di assistenza e delega. Gli effetti sono valutati qualitativamente, senza attribuire risparmi o costi unitari non determinati.</w:t>
            </w:r>
          </w:p>
          <w:p w14:paraId="5D4F1F6C" w14:textId="77777777" w:rsidR="00843119" w:rsidRDefault="00843119" w:rsidP="000E0B86">
            <w:pPr>
              <w:spacing w:after="60" w:line="276" w:lineRule="auto"/>
              <w:jc w:val="both"/>
              <w:rPr>
                <w:rFonts w:eastAsia="Times New Roman" w:cstheme="minorHAnsi"/>
                <w:b/>
                <w:bCs/>
                <w:sz w:val="24"/>
                <w:szCs w:val="24"/>
                <w:lang w:eastAsia="it-IT"/>
              </w:rPr>
            </w:pPr>
          </w:p>
          <w:p w14:paraId="21F4842A" w14:textId="5DEC7EE1" w:rsidR="00692F90" w:rsidRPr="00AC77C0" w:rsidRDefault="0020203A"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c) Indicazione e stima degli oneri informativi e dei relativi costi amministrativi, introdotti o eliminati a carico dei cittadini e imprese. Per onere informativo si intende qualunque tipologia di adempimento comportante raccolta, elaborazione, trasmissione, conservazione e produzione di informazioni, comunicazioni e documenti alla pubblica amministrazione</w:t>
            </w:r>
          </w:p>
          <w:p w14:paraId="468F9EC3" w14:textId="61461498" w:rsidR="00CF702E" w:rsidRPr="00AC77C0" w:rsidRDefault="00457E40" w:rsidP="000E0B86">
            <w:pPr>
              <w:spacing w:after="60" w:line="276" w:lineRule="auto"/>
              <w:jc w:val="both"/>
              <w:rPr>
                <w:rFonts w:eastAsia="Times New Roman" w:cstheme="minorHAnsi"/>
                <w:sz w:val="24"/>
                <w:szCs w:val="24"/>
                <w:lang w:eastAsia="it-IT"/>
              </w:rPr>
            </w:pPr>
            <w:r w:rsidRPr="00457E40">
              <w:rPr>
                <w:rFonts w:eastAsia="Times New Roman" w:cstheme="minorHAnsi"/>
                <w:sz w:val="24"/>
                <w:szCs w:val="24"/>
                <w:lang w:eastAsia="it-IT"/>
              </w:rPr>
              <w:t>Per i lavoratori, iscrizione e aggiornamento delle disponibilità negli elenchi sono volontari e gratuiti. Per le imprese sono previsti la comunicazione delle offerte attraverso il servizio digitale, gli adempimenti per la verifica della coerenza e, nei casi dell’articolo 9, la comunicazione degli affidamenti relativi alle attività finanziate. I costi amministrativi dipendono dal numero degli affidamenti, dai dati richiesti e dalla documentazione già disponibile; non è formulata una stima monetaria autonoma. Assistenza, integrazione dei servizi esistenti e interoperabilità sono finalizzate a contenere tali oneri.</w:t>
            </w:r>
          </w:p>
        </w:tc>
      </w:tr>
      <w:tr w:rsidR="00CF702E" w:rsidRPr="00AC77C0" w14:paraId="251969E0" w14:textId="77777777" w:rsidTr="007B3157">
        <w:trPr>
          <w:trHeight w:val="1428"/>
          <w:jc w:val="center"/>
        </w:trPr>
        <w:tc>
          <w:tcPr>
            <w:tcW w:w="1396" w:type="pct"/>
            <w:vAlign w:val="center"/>
          </w:tcPr>
          <w:p w14:paraId="13DFD6A5" w14:textId="31FE500B"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6</w:t>
            </w:r>
          </w:p>
          <w:p w14:paraId="0A72E6A4" w14:textId="4975FDFD"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Incidenza sul corretto funzionamento concorrenziale del mercato e sulla competitività regionale, nonché sulle politiche giovanili</w:t>
            </w:r>
          </w:p>
        </w:tc>
        <w:tc>
          <w:tcPr>
            <w:tcW w:w="3604" w:type="pct"/>
            <w:vAlign w:val="center"/>
          </w:tcPr>
          <w:p w14:paraId="7506E8AF" w14:textId="7A1AA6E9" w:rsidR="00CF702E" w:rsidRPr="00AC77C0" w:rsidRDefault="00E11593" w:rsidP="000E0B86">
            <w:pPr>
              <w:spacing w:after="60" w:line="276" w:lineRule="auto"/>
              <w:jc w:val="both"/>
              <w:rPr>
                <w:rFonts w:eastAsia="Times New Roman" w:cstheme="minorHAnsi"/>
                <w:sz w:val="24"/>
                <w:szCs w:val="24"/>
                <w:lang w:eastAsia="it-IT"/>
              </w:rPr>
            </w:pPr>
            <w:r w:rsidRPr="00E11593">
              <w:rPr>
                <w:rFonts w:eastAsia="Times New Roman" w:cstheme="minorHAnsi"/>
                <w:sz w:val="24"/>
                <w:szCs w:val="24"/>
                <w:lang w:eastAsia="it-IT"/>
              </w:rPr>
              <w:t>La proposta mira a contrastare i vantaggi concorrenziali derivanti dal lavoro irregolare e a valorizzare le imprese che rispettano le regole. Condizioni e premialità sono applicate nel rispetto della normativa europea e statale su aiuti alle imprese, politica agricola comune e contratti pubblici. L’iscrizione agli elenchi non limita gli altri canali leciti di incontro tra domanda e offerta. Per i giovani sono attesi benefici nell’accesso al lavoro regolare e alla formazione, senza introdurre misure riservate per età.</w:t>
            </w:r>
          </w:p>
        </w:tc>
      </w:tr>
      <w:tr w:rsidR="00477009" w:rsidRPr="00AC77C0" w14:paraId="5CE1D2C0" w14:textId="77777777" w:rsidTr="007B3157">
        <w:trPr>
          <w:jc w:val="center"/>
        </w:trPr>
        <w:tc>
          <w:tcPr>
            <w:tcW w:w="1396" w:type="pct"/>
            <w:vAlign w:val="center"/>
          </w:tcPr>
          <w:p w14:paraId="3911BF07" w14:textId="178449F5"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7</w:t>
            </w:r>
          </w:p>
          <w:p w14:paraId="5AFF8A38" w14:textId="47E1B60C"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Modalità attuative dell’intervento di regolamentazione</w:t>
            </w:r>
          </w:p>
        </w:tc>
        <w:tc>
          <w:tcPr>
            <w:tcW w:w="3604" w:type="pct"/>
            <w:vAlign w:val="center"/>
          </w:tcPr>
          <w:p w14:paraId="10FC71E8" w14:textId="77777777" w:rsidR="00F270D0" w:rsidRPr="00AC77C0" w:rsidRDefault="00F270D0"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a) Soggetti responsabili dell’attuazione dell’intervento regolatorio</w:t>
            </w:r>
          </w:p>
          <w:p w14:paraId="02B274D5" w14:textId="2562ED12" w:rsidR="0061230B" w:rsidRDefault="00D003AF" w:rsidP="000E0B86">
            <w:pPr>
              <w:spacing w:after="60" w:line="276" w:lineRule="auto"/>
              <w:jc w:val="both"/>
              <w:rPr>
                <w:rFonts w:eastAsia="Times New Roman" w:cstheme="minorHAnsi"/>
                <w:sz w:val="24"/>
                <w:szCs w:val="24"/>
                <w:lang w:eastAsia="it-IT"/>
              </w:rPr>
            </w:pPr>
            <w:r w:rsidRPr="00D003AF">
              <w:rPr>
                <w:rFonts w:eastAsia="Times New Roman" w:cstheme="minorHAnsi"/>
                <w:sz w:val="24"/>
                <w:szCs w:val="24"/>
                <w:lang w:eastAsia="it-IT"/>
              </w:rPr>
              <w:t>L’attuazione compete alla Giunta e alle strutture regionali in materia di agricoltura, lavoro, immigrazione e politiche sociali, con il contributo del Tavolo. Il Piano individua i soggetti attuatori e le collaborazioni con enti locali, Ambiti territoriali sociali, aziende sanitarie locali, enti del Terzo settore e altri soggetti competenti.</w:t>
            </w:r>
          </w:p>
          <w:p w14:paraId="35194384" w14:textId="77777777" w:rsidR="00D003AF" w:rsidRPr="00AC77C0" w:rsidRDefault="00D003AF" w:rsidP="000E0B86">
            <w:pPr>
              <w:spacing w:after="60" w:line="276" w:lineRule="auto"/>
              <w:jc w:val="both"/>
              <w:rPr>
                <w:rFonts w:eastAsia="Times New Roman" w:cstheme="minorHAnsi"/>
                <w:sz w:val="24"/>
                <w:szCs w:val="24"/>
                <w:lang w:eastAsia="it-IT"/>
              </w:rPr>
            </w:pPr>
          </w:p>
          <w:p w14:paraId="37E93106" w14:textId="75F22A99" w:rsidR="0020248D" w:rsidRPr="00AC77C0" w:rsidRDefault="0020248D"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b) Azioni per la pubblicità e per l’informazione dell’intervento</w:t>
            </w:r>
          </w:p>
          <w:p w14:paraId="635C82CC" w14:textId="2C5B675E" w:rsidR="00661FE1" w:rsidRDefault="00A54FDE" w:rsidP="000E0B86">
            <w:pPr>
              <w:spacing w:after="60" w:line="276" w:lineRule="auto"/>
              <w:jc w:val="both"/>
              <w:rPr>
                <w:rFonts w:eastAsia="Times New Roman" w:cstheme="minorHAnsi"/>
                <w:sz w:val="24"/>
                <w:szCs w:val="24"/>
                <w:lang w:eastAsia="it-IT"/>
              </w:rPr>
            </w:pPr>
            <w:r w:rsidRPr="00A54FDE">
              <w:rPr>
                <w:rFonts w:eastAsia="Times New Roman" w:cstheme="minorHAnsi"/>
                <w:sz w:val="24"/>
                <w:szCs w:val="24"/>
                <w:lang w:eastAsia="it-IT"/>
              </w:rPr>
              <w:t>La legge sarà pubblicata nel BURC. Il Piano comprende attività di informazione e sensibilizzazione rivolte a lavoratori, imprese e operatori. Il servizio digitale multilingue, i Centri per l’impiego, la mediazione linguistica e i servizi di prossimità favoriscono la conoscenza dei diritti e l’accesso agli interventi.</w:t>
            </w:r>
          </w:p>
          <w:p w14:paraId="666B8C5B" w14:textId="77777777" w:rsidR="00A54FDE" w:rsidRPr="00AC77C0" w:rsidRDefault="00A54FDE" w:rsidP="000E0B86">
            <w:pPr>
              <w:spacing w:after="60" w:line="276" w:lineRule="auto"/>
              <w:jc w:val="both"/>
              <w:rPr>
                <w:rFonts w:eastAsia="Times New Roman" w:cstheme="minorHAnsi"/>
                <w:sz w:val="24"/>
                <w:szCs w:val="24"/>
                <w:lang w:eastAsia="it-IT"/>
              </w:rPr>
            </w:pPr>
          </w:p>
          <w:p w14:paraId="10EBE039" w14:textId="1C2A2445" w:rsidR="006C34F4" w:rsidRPr="00AC77C0" w:rsidRDefault="00001788"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c) Strumenti e modalità per il controllo e il monitoraggio dell’intervento regolatorio</w:t>
            </w:r>
          </w:p>
          <w:p w14:paraId="1879393C" w14:textId="2AF97346" w:rsidR="008820F6" w:rsidRDefault="00F145C3" w:rsidP="000E0B86">
            <w:pPr>
              <w:spacing w:after="60" w:line="276" w:lineRule="auto"/>
              <w:jc w:val="both"/>
              <w:rPr>
                <w:rFonts w:eastAsia="Times New Roman" w:cstheme="minorHAnsi"/>
                <w:sz w:val="24"/>
                <w:szCs w:val="24"/>
                <w:lang w:eastAsia="it-IT"/>
              </w:rPr>
            </w:pPr>
            <w:r w:rsidRPr="00F145C3">
              <w:rPr>
                <w:rFonts w:eastAsia="Times New Roman" w:cstheme="minorHAnsi"/>
                <w:sz w:val="24"/>
                <w:szCs w:val="24"/>
                <w:lang w:eastAsia="it-IT"/>
              </w:rPr>
              <w:t>Il Tavolo concorre al monitoraggio del Piano e alla valutazione degli interventi. La coerenza della manodopera è verificata annualmente. A decorrere dall’anno successivo all’approvazione del Piano, la Giunta presenta al Consiglio la relazione annuale prevista dall’articolo 10, su interventi, risorse, risultati e criticità. Restano autonome le competenze degli organi di controllo cui possono essere trasmesse le anomalie.</w:t>
            </w:r>
          </w:p>
          <w:p w14:paraId="6555A175" w14:textId="77777777" w:rsidR="00F145C3" w:rsidRPr="00AC77C0" w:rsidRDefault="00F145C3" w:rsidP="000E0B86">
            <w:pPr>
              <w:spacing w:after="60" w:line="276" w:lineRule="auto"/>
              <w:jc w:val="both"/>
              <w:rPr>
                <w:rFonts w:eastAsia="Times New Roman" w:cstheme="minorHAnsi"/>
                <w:b/>
                <w:bCs/>
                <w:sz w:val="24"/>
                <w:szCs w:val="24"/>
                <w:lang w:eastAsia="it-IT"/>
              </w:rPr>
            </w:pPr>
          </w:p>
          <w:p w14:paraId="35715080" w14:textId="77777777" w:rsidR="00001788" w:rsidRPr="00AC77C0" w:rsidRDefault="00001788"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d) Meccanismi previsti per la revisione dell’intervento regolatorio</w:t>
            </w:r>
          </w:p>
          <w:p w14:paraId="67810D22" w14:textId="75CB9158" w:rsidR="00001788" w:rsidRPr="00AC77C0" w:rsidRDefault="00966819" w:rsidP="000E0B86">
            <w:pPr>
              <w:spacing w:after="60" w:line="276" w:lineRule="auto"/>
              <w:jc w:val="both"/>
              <w:rPr>
                <w:rFonts w:eastAsia="Times New Roman" w:cstheme="minorHAnsi"/>
                <w:sz w:val="24"/>
                <w:szCs w:val="24"/>
                <w:lang w:eastAsia="it-IT"/>
              </w:rPr>
            </w:pPr>
            <w:r w:rsidRPr="00966819">
              <w:rPr>
                <w:rFonts w:eastAsia="Times New Roman" w:cstheme="minorHAnsi"/>
                <w:sz w:val="24"/>
                <w:szCs w:val="24"/>
                <w:lang w:eastAsia="it-IT"/>
              </w:rPr>
              <w:t xml:space="preserve">Il Piano è rinnovato ogni tre anni con le modalità previste per la sua approvazione. La relazione annuale individua le eventuali esigenze di </w:t>
            </w:r>
            <w:r w:rsidRPr="00966819">
              <w:rPr>
                <w:rFonts w:eastAsia="Times New Roman" w:cstheme="minorHAnsi"/>
                <w:sz w:val="24"/>
                <w:szCs w:val="24"/>
                <w:lang w:eastAsia="it-IT"/>
              </w:rPr>
              <w:lastRenderedPageBreak/>
              <w:t>aggiornamento del Piano e della normativa regionale. È inoltre prevista la definizione della metodologia di aggiornamento degli indici di coerenza.</w:t>
            </w:r>
          </w:p>
        </w:tc>
      </w:tr>
      <w:tr w:rsidR="00CF702E" w:rsidRPr="00AC77C0" w14:paraId="271C469F" w14:textId="77777777" w:rsidTr="007B3157">
        <w:trPr>
          <w:jc w:val="center"/>
        </w:trPr>
        <w:tc>
          <w:tcPr>
            <w:tcW w:w="1396" w:type="pct"/>
            <w:vAlign w:val="center"/>
          </w:tcPr>
          <w:p w14:paraId="0909B16F" w14:textId="3A1ED467"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8</w:t>
            </w:r>
          </w:p>
          <w:p w14:paraId="5E5F0430" w14:textId="1E539F0E"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Rispetto dei livelli minimi di regolazione europea</w:t>
            </w:r>
          </w:p>
        </w:tc>
        <w:tc>
          <w:tcPr>
            <w:tcW w:w="3604" w:type="pct"/>
            <w:vAlign w:val="center"/>
          </w:tcPr>
          <w:p w14:paraId="7E30899D" w14:textId="2F32BB97" w:rsidR="00CF702E" w:rsidRPr="00AC77C0" w:rsidRDefault="00AD7773" w:rsidP="000E0B86">
            <w:pPr>
              <w:spacing w:after="60" w:line="276" w:lineRule="auto"/>
              <w:jc w:val="both"/>
              <w:rPr>
                <w:rFonts w:cstheme="minorHAnsi"/>
                <w:sz w:val="24"/>
                <w:szCs w:val="24"/>
              </w:rPr>
            </w:pPr>
            <w:r w:rsidRPr="00AD7773">
              <w:rPr>
                <w:rFonts w:cstheme="minorHAnsi"/>
                <w:sz w:val="24"/>
                <w:szCs w:val="24"/>
              </w:rPr>
              <w:t>La proposta non recepisce direttive europee e non interviene sulle relative modalità di attuazione. Non si pone pertanto una questione di superamento dei livelli minimi di regolazione europea in sede di recepimento.</w:t>
            </w:r>
          </w:p>
        </w:tc>
      </w:tr>
    </w:tbl>
    <w:p w14:paraId="517B0962" w14:textId="244AC69A" w:rsidR="00EE4D2A" w:rsidRPr="00AC77C0" w:rsidRDefault="00EE4D2A" w:rsidP="000E0B86">
      <w:pPr>
        <w:pStyle w:val="Intestazione"/>
        <w:tabs>
          <w:tab w:val="clear" w:pos="4819"/>
          <w:tab w:val="clear" w:pos="9638"/>
        </w:tabs>
        <w:spacing w:after="60" w:line="276" w:lineRule="auto"/>
        <w:rPr>
          <w:rFonts w:asciiTheme="minorHAnsi" w:eastAsia="Century Schoolbook" w:hAnsiTheme="minorHAnsi" w:cstheme="minorHAnsi"/>
        </w:rPr>
      </w:pPr>
    </w:p>
    <w:sectPr w:rsidR="00EE4D2A" w:rsidRPr="00AC77C0" w:rsidSect="008D4B2D">
      <w:footerReference w:type="default" r:id="rId12"/>
      <w:pgSz w:w="11906" w:h="16838" w:code="9"/>
      <w:pgMar w:top="1418" w:right="1134" w:bottom="1134" w:left="1134" w:header="567" w:footer="28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5E9FE" w14:textId="77777777" w:rsidR="0072062F" w:rsidRDefault="0072062F">
      <w:r>
        <w:separator/>
      </w:r>
    </w:p>
  </w:endnote>
  <w:endnote w:type="continuationSeparator" w:id="0">
    <w:p w14:paraId="388A2041" w14:textId="77777777" w:rsidR="0072062F" w:rsidRDefault="0072062F">
      <w:r>
        <w:continuationSeparator/>
      </w:r>
    </w:p>
  </w:endnote>
  <w:endnote w:type="continuationNotice" w:id="1">
    <w:p w14:paraId="0B62C838" w14:textId="77777777" w:rsidR="0072062F" w:rsidRDefault="00720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82CD" w14:textId="77777777" w:rsidR="008007F6" w:rsidRDefault="008007F6" w:rsidP="00492B5C">
    <w:pPr>
      <w:pStyle w:val="Pidipagina"/>
      <w:jc w:val="right"/>
    </w:pPr>
  </w:p>
  <w:p w14:paraId="238816E3" w14:textId="1E3D2FD3" w:rsidR="00492B5C" w:rsidRPr="00492B5C" w:rsidRDefault="00492B5C" w:rsidP="00492B5C">
    <w:pPr>
      <w:pStyle w:val="Pidipagina"/>
      <w:jc w:val="right"/>
    </w:pPr>
    <w:r w:rsidRPr="00492B5C">
      <w:t xml:space="preserve">Pag. </w:t>
    </w:r>
    <w:r w:rsidRPr="00492B5C">
      <w:fldChar w:fldCharType="begin"/>
    </w:r>
    <w:r w:rsidRPr="00492B5C">
      <w:instrText>PAGE  \* Arabic  \* MERGEFORMAT</w:instrText>
    </w:r>
    <w:r w:rsidRPr="00492B5C">
      <w:fldChar w:fldCharType="separate"/>
    </w:r>
    <w:r w:rsidRPr="00492B5C">
      <w:t>2</w:t>
    </w:r>
    <w:r w:rsidRPr="00492B5C">
      <w:fldChar w:fldCharType="end"/>
    </w:r>
    <w:r w:rsidRPr="00492B5C">
      <w:t xml:space="preserve"> di </w:t>
    </w:r>
    <w:fldSimple w:instr="NUMPAGES  \* Arabic  \* MERGEFORMAT">
      <w:r w:rsidRPr="00492B5C">
        <w:t>2</w:t>
      </w:r>
    </w:fldSimple>
  </w:p>
  <w:p w14:paraId="65B24748" w14:textId="363B7F1C" w:rsidR="00EF32A8" w:rsidRPr="00492B5C" w:rsidRDefault="00EF32A8" w:rsidP="00492B5C">
    <w:pPr>
      <w:jc w:val="right"/>
      <w:rPr>
        <w:rFonts w:ascii="Century Schoolbook" w:eastAsia="Century Schoolbook" w:hAnsi="Century Schoolbook" w:cs="Century Schoolbook"/>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201975"/>
      <w:docPartObj>
        <w:docPartGallery w:val="Page Numbers (Bottom of Page)"/>
        <w:docPartUnique/>
      </w:docPartObj>
    </w:sdtPr>
    <w:sdtEndPr/>
    <w:sdtContent>
      <w:sdt>
        <w:sdtPr>
          <w:id w:val="-1769616900"/>
          <w:docPartObj>
            <w:docPartGallery w:val="Page Numbers (Top of Page)"/>
            <w:docPartUnique/>
          </w:docPartObj>
        </w:sdtPr>
        <w:sdtEndPr/>
        <w:sdtContent>
          <w:p w14:paraId="273679BD" w14:textId="2F69BFB1" w:rsidR="004665BB" w:rsidRPr="00286641" w:rsidRDefault="004665BB">
            <w:pPr>
              <w:pStyle w:val="Pidipagina"/>
              <w:jc w:val="right"/>
            </w:pPr>
            <w:r w:rsidRPr="00286641">
              <w:t xml:space="preserve">Pag. </w:t>
            </w:r>
            <w:r w:rsidRPr="00286641">
              <w:fldChar w:fldCharType="begin"/>
            </w:r>
            <w:r w:rsidRPr="00286641">
              <w:instrText>PAGE</w:instrText>
            </w:r>
            <w:r w:rsidRPr="00286641">
              <w:fldChar w:fldCharType="separate"/>
            </w:r>
            <w:r w:rsidRPr="00286641">
              <w:t>2</w:t>
            </w:r>
            <w:r w:rsidRPr="00286641">
              <w:fldChar w:fldCharType="end"/>
            </w:r>
            <w:r w:rsidRPr="00286641">
              <w:t xml:space="preserve"> di </w:t>
            </w:r>
            <w:r w:rsidR="00B807EF">
              <w:t>5</w:t>
            </w:r>
          </w:p>
        </w:sdtContent>
      </w:sdt>
    </w:sdtContent>
  </w:sdt>
  <w:p w14:paraId="61D57FAA" w14:textId="77777777" w:rsidR="004665BB" w:rsidRPr="00492B5C" w:rsidRDefault="004665BB" w:rsidP="00492B5C">
    <w:pPr>
      <w:jc w:val="right"/>
      <w:rPr>
        <w:rFonts w:ascii="Century Schoolbook" w:eastAsia="Century Schoolbook" w:hAnsi="Century Schoolbook" w:cs="Century Schoolbook"/>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963E7" w14:textId="77777777" w:rsidR="0072062F" w:rsidRDefault="0072062F">
      <w:r>
        <w:separator/>
      </w:r>
    </w:p>
  </w:footnote>
  <w:footnote w:type="continuationSeparator" w:id="0">
    <w:p w14:paraId="5576E5B7" w14:textId="77777777" w:rsidR="0072062F" w:rsidRDefault="0072062F">
      <w:r>
        <w:continuationSeparator/>
      </w:r>
    </w:p>
  </w:footnote>
  <w:footnote w:type="continuationNotice" w:id="1">
    <w:p w14:paraId="32BC919B" w14:textId="77777777" w:rsidR="0072062F" w:rsidRDefault="007206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E03C" w14:textId="77777777" w:rsidR="008F287F" w:rsidRDefault="008F287F" w:rsidP="008D7024">
    <w:pPr>
      <w:jc w:val="center"/>
      <w:rPr>
        <w:rFonts w:eastAsia="Century Schoolbook"/>
        <w:bCs/>
        <w:iCs/>
        <w:color w:val="000000"/>
      </w:rPr>
    </w:pPr>
  </w:p>
  <w:p w14:paraId="240A2559" w14:textId="2000C5D9" w:rsidR="00EF32A8" w:rsidRPr="00553302" w:rsidRDefault="00AA77FF" w:rsidP="008D7024">
    <w:pPr>
      <w:jc w:val="center"/>
      <w:rPr>
        <w:rFonts w:eastAsia="Century Schoolbook"/>
        <w:bCs/>
        <w:iCs/>
        <w:color w:val="000000"/>
      </w:rPr>
    </w:pPr>
    <w:r w:rsidRPr="00553302">
      <w:rPr>
        <w:bCs/>
        <w:iCs/>
        <w:noProof/>
        <w:color w:val="000000"/>
      </w:rPr>
      <w:drawing>
        <wp:anchor distT="0" distB="0" distL="114300" distR="114300" simplePos="0" relativeHeight="251658240" behindDoc="0" locked="0" layoutInCell="1" hidden="0" allowOverlap="1" wp14:anchorId="664821BE" wp14:editId="64C90DE1">
          <wp:simplePos x="0" y="0"/>
          <wp:positionH relativeFrom="margin">
            <wp:posOffset>1560461</wp:posOffset>
          </wp:positionH>
          <wp:positionV relativeFrom="page">
            <wp:posOffset>-8890</wp:posOffset>
          </wp:positionV>
          <wp:extent cx="3002400" cy="1720800"/>
          <wp:effectExtent l="0" t="0" r="0" b="0"/>
          <wp:wrapNone/>
          <wp:docPr id="588682024" name="Immagine 588682024"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4479901" w14:textId="7BB4FD04" w:rsidR="00EF32A8" w:rsidRPr="00553302" w:rsidRDefault="00EF32A8" w:rsidP="008D7024">
    <w:pPr>
      <w:tabs>
        <w:tab w:val="left" w:pos="8120"/>
      </w:tabs>
      <w:jc w:val="center"/>
      <w:rPr>
        <w:rFonts w:eastAsia="Book Antiqua"/>
        <w:b/>
        <w:iCs/>
        <w:color w:val="000000"/>
      </w:rPr>
    </w:pPr>
  </w:p>
  <w:p w14:paraId="39C594C1" w14:textId="77777777" w:rsidR="00EF32A8" w:rsidRPr="00553302" w:rsidRDefault="00EF32A8" w:rsidP="008D7024">
    <w:pPr>
      <w:tabs>
        <w:tab w:val="left" w:pos="8120"/>
      </w:tabs>
      <w:jc w:val="center"/>
      <w:rPr>
        <w:rFonts w:eastAsia="Book Antiqua"/>
        <w:b/>
        <w:iCs/>
        <w:color w:val="000000"/>
      </w:rPr>
    </w:pPr>
  </w:p>
  <w:p w14:paraId="6BE87E56" w14:textId="77777777" w:rsidR="00EF32A8" w:rsidRPr="00553302" w:rsidRDefault="00EF32A8" w:rsidP="008D7024">
    <w:pPr>
      <w:tabs>
        <w:tab w:val="left" w:pos="8120"/>
      </w:tabs>
      <w:jc w:val="center"/>
      <w:rPr>
        <w:rFonts w:eastAsia="Book Antiqua"/>
        <w:b/>
        <w:iCs/>
        <w:color w:val="000000"/>
      </w:rPr>
    </w:pPr>
  </w:p>
  <w:p w14:paraId="51439B5B" w14:textId="77777777" w:rsidR="00EF32A8" w:rsidRPr="00553302" w:rsidRDefault="00EF32A8" w:rsidP="008D7024">
    <w:pPr>
      <w:tabs>
        <w:tab w:val="left" w:pos="8120"/>
      </w:tabs>
      <w:jc w:val="center"/>
      <w:rPr>
        <w:rFonts w:eastAsia="Book Antiqua"/>
        <w:b/>
        <w:iCs/>
        <w:color w:val="000000"/>
      </w:rPr>
    </w:pPr>
  </w:p>
  <w:p w14:paraId="29ABE47A" w14:textId="77777777" w:rsidR="00EF32A8" w:rsidRPr="00553302" w:rsidRDefault="00EF32A8" w:rsidP="008D7024">
    <w:pPr>
      <w:tabs>
        <w:tab w:val="left" w:pos="8120"/>
      </w:tabs>
      <w:jc w:val="center"/>
      <w:rPr>
        <w:rFonts w:eastAsia="Book Antiqua"/>
        <w:b/>
        <w:iCs/>
      </w:rPr>
    </w:pPr>
  </w:p>
  <w:p w14:paraId="1CE3BA61" w14:textId="77777777" w:rsidR="002D77A8" w:rsidRPr="00553302" w:rsidRDefault="002D77A8" w:rsidP="008D7024">
    <w:pPr>
      <w:tabs>
        <w:tab w:val="left" w:pos="8120"/>
      </w:tabs>
      <w:jc w:val="center"/>
      <w:rPr>
        <w:rFonts w:eastAsia="Book Antiqua"/>
        <w:b/>
        <w:iC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EDCF" w14:textId="77777777" w:rsidR="00EF32A8" w:rsidRDefault="00AA77FF" w:rsidP="008D7024">
    <w:pPr>
      <w:jc w:val="center"/>
    </w:pPr>
    <w:r>
      <w:rPr>
        <w:noProof/>
      </w:rPr>
      <w:drawing>
        <wp:anchor distT="0" distB="0" distL="114300" distR="114300" simplePos="0" relativeHeight="251658241" behindDoc="0" locked="0" layoutInCell="1" hidden="0" allowOverlap="1" wp14:anchorId="4A41989C" wp14:editId="518881CC">
          <wp:simplePos x="0" y="0"/>
          <wp:positionH relativeFrom="margin">
            <wp:posOffset>1559723</wp:posOffset>
          </wp:positionH>
          <wp:positionV relativeFrom="page">
            <wp:posOffset>-7618</wp:posOffset>
          </wp:positionV>
          <wp:extent cx="3002400" cy="1720800"/>
          <wp:effectExtent l="0" t="0" r="0" b="0"/>
          <wp:wrapNone/>
          <wp:docPr id="1652335089" name="Immagine 1652335089"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7D11317" w14:textId="77777777" w:rsidR="00EF32A8" w:rsidRDefault="00EF32A8" w:rsidP="008D7024">
    <w:pPr>
      <w:jc w:val="center"/>
    </w:pPr>
  </w:p>
  <w:p w14:paraId="6AD61A9E" w14:textId="77777777" w:rsidR="00EF32A8" w:rsidRDefault="00EF32A8" w:rsidP="008D7024">
    <w:pPr>
      <w:jc w:val="center"/>
    </w:pPr>
  </w:p>
  <w:p w14:paraId="32C80142" w14:textId="77777777" w:rsidR="00EF32A8" w:rsidRDefault="00EF32A8" w:rsidP="008D7024">
    <w:pPr>
      <w:jc w:val="center"/>
    </w:pPr>
  </w:p>
  <w:p w14:paraId="3DE4FD25" w14:textId="77777777" w:rsidR="00EF32A8" w:rsidRDefault="00EF32A8" w:rsidP="008D7024">
    <w:pPr>
      <w:jc w:val="center"/>
    </w:pPr>
  </w:p>
  <w:p w14:paraId="14D048D0" w14:textId="77777777" w:rsidR="00EF32A8" w:rsidRDefault="00EF32A8" w:rsidP="008D7024">
    <w:pPr>
      <w:jc w:val="center"/>
    </w:pPr>
  </w:p>
  <w:p w14:paraId="15861B46" w14:textId="77777777" w:rsidR="00EF32A8" w:rsidRDefault="00EF32A8" w:rsidP="008D702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F6950"/>
    <w:multiLevelType w:val="multilevel"/>
    <w:tmpl w:val="E5D80B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B761B1"/>
    <w:multiLevelType w:val="hybridMultilevel"/>
    <w:tmpl w:val="1382B56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81445839">
    <w:abstractNumId w:val="0"/>
  </w:num>
  <w:num w:numId="2" w16cid:durableId="118963766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2A8"/>
    <w:rsid w:val="00000643"/>
    <w:rsid w:val="00000AC3"/>
    <w:rsid w:val="00000D1C"/>
    <w:rsid w:val="0000145A"/>
    <w:rsid w:val="0000175E"/>
    <w:rsid w:val="00001788"/>
    <w:rsid w:val="00001857"/>
    <w:rsid w:val="0000212D"/>
    <w:rsid w:val="00003608"/>
    <w:rsid w:val="000053C5"/>
    <w:rsid w:val="00005F85"/>
    <w:rsid w:val="000066F8"/>
    <w:rsid w:val="00007D93"/>
    <w:rsid w:val="000109DC"/>
    <w:rsid w:val="000115EF"/>
    <w:rsid w:val="000118E0"/>
    <w:rsid w:val="00012814"/>
    <w:rsid w:val="00014DE4"/>
    <w:rsid w:val="000152CB"/>
    <w:rsid w:val="00016449"/>
    <w:rsid w:val="00016A6C"/>
    <w:rsid w:val="00016E30"/>
    <w:rsid w:val="00016F81"/>
    <w:rsid w:val="00017375"/>
    <w:rsid w:val="00017687"/>
    <w:rsid w:val="00017BA3"/>
    <w:rsid w:val="00017BAB"/>
    <w:rsid w:val="00017D30"/>
    <w:rsid w:val="00020347"/>
    <w:rsid w:val="000205FC"/>
    <w:rsid w:val="00020E18"/>
    <w:rsid w:val="00021097"/>
    <w:rsid w:val="0002111E"/>
    <w:rsid w:val="0002233B"/>
    <w:rsid w:val="00022917"/>
    <w:rsid w:val="00022DE2"/>
    <w:rsid w:val="000239F8"/>
    <w:rsid w:val="00023E1B"/>
    <w:rsid w:val="000253CB"/>
    <w:rsid w:val="00025851"/>
    <w:rsid w:val="0003062F"/>
    <w:rsid w:val="00030E6D"/>
    <w:rsid w:val="00031772"/>
    <w:rsid w:val="00032E46"/>
    <w:rsid w:val="00034AAA"/>
    <w:rsid w:val="00034B97"/>
    <w:rsid w:val="00034CC3"/>
    <w:rsid w:val="00034E7C"/>
    <w:rsid w:val="00035A8D"/>
    <w:rsid w:val="00035FA4"/>
    <w:rsid w:val="000362ED"/>
    <w:rsid w:val="00036915"/>
    <w:rsid w:val="00036C12"/>
    <w:rsid w:val="00037025"/>
    <w:rsid w:val="000375B0"/>
    <w:rsid w:val="000375E4"/>
    <w:rsid w:val="0004000F"/>
    <w:rsid w:val="0004031B"/>
    <w:rsid w:val="000412C0"/>
    <w:rsid w:val="00041FC6"/>
    <w:rsid w:val="00042423"/>
    <w:rsid w:val="0004247B"/>
    <w:rsid w:val="00042FE7"/>
    <w:rsid w:val="00043F82"/>
    <w:rsid w:val="0004414F"/>
    <w:rsid w:val="000447D4"/>
    <w:rsid w:val="00044D0F"/>
    <w:rsid w:val="000454D3"/>
    <w:rsid w:val="0004590D"/>
    <w:rsid w:val="00045A3C"/>
    <w:rsid w:val="00045AA8"/>
    <w:rsid w:val="000476C1"/>
    <w:rsid w:val="00047945"/>
    <w:rsid w:val="00047C40"/>
    <w:rsid w:val="000503FD"/>
    <w:rsid w:val="00050400"/>
    <w:rsid w:val="0005149F"/>
    <w:rsid w:val="00052673"/>
    <w:rsid w:val="000527DB"/>
    <w:rsid w:val="00053215"/>
    <w:rsid w:val="0005365F"/>
    <w:rsid w:val="00053F54"/>
    <w:rsid w:val="000542F5"/>
    <w:rsid w:val="00054C67"/>
    <w:rsid w:val="00054D1C"/>
    <w:rsid w:val="00055489"/>
    <w:rsid w:val="000561B3"/>
    <w:rsid w:val="000574DB"/>
    <w:rsid w:val="000578FE"/>
    <w:rsid w:val="00057BC4"/>
    <w:rsid w:val="00057FEA"/>
    <w:rsid w:val="0006063F"/>
    <w:rsid w:val="000606DF"/>
    <w:rsid w:val="000634FE"/>
    <w:rsid w:val="00063FDC"/>
    <w:rsid w:val="00064878"/>
    <w:rsid w:val="00064B8F"/>
    <w:rsid w:val="000656F0"/>
    <w:rsid w:val="000666D0"/>
    <w:rsid w:val="00067437"/>
    <w:rsid w:val="00067B09"/>
    <w:rsid w:val="0007077A"/>
    <w:rsid w:val="0007158B"/>
    <w:rsid w:val="00071DF8"/>
    <w:rsid w:val="00072FB6"/>
    <w:rsid w:val="00072FCC"/>
    <w:rsid w:val="000735CF"/>
    <w:rsid w:val="000736C3"/>
    <w:rsid w:val="0007400B"/>
    <w:rsid w:val="000743FC"/>
    <w:rsid w:val="000745A4"/>
    <w:rsid w:val="000749FD"/>
    <w:rsid w:val="00074D95"/>
    <w:rsid w:val="000753C3"/>
    <w:rsid w:val="000756D3"/>
    <w:rsid w:val="00075B7B"/>
    <w:rsid w:val="00075F1A"/>
    <w:rsid w:val="00076093"/>
    <w:rsid w:val="00076099"/>
    <w:rsid w:val="00076184"/>
    <w:rsid w:val="0007655D"/>
    <w:rsid w:val="00076A8E"/>
    <w:rsid w:val="00077ACB"/>
    <w:rsid w:val="00077E4A"/>
    <w:rsid w:val="000805C1"/>
    <w:rsid w:val="000813A0"/>
    <w:rsid w:val="0008418B"/>
    <w:rsid w:val="000845C2"/>
    <w:rsid w:val="00085FD5"/>
    <w:rsid w:val="00086404"/>
    <w:rsid w:val="00086562"/>
    <w:rsid w:val="0008757B"/>
    <w:rsid w:val="00087A72"/>
    <w:rsid w:val="000900BA"/>
    <w:rsid w:val="000900F7"/>
    <w:rsid w:val="00091102"/>
    <w:rsid w:val="00091763"/>
    <w:rsid w:val="000919AB"/>
    <w:rsid w:val="00092396"/>
    <w:rsid w:val="00092CEC"/>
    <w:rsid w:val="00093285"/>
    <w:rsid w:val="0009444C"/>
    <w:rsid w:val="00095534"/>
    <w:rsid w:val="000955BE"/>
    <w:rsid w:val="0009604B"/>
    <w:rsid w:val="000A0703"/>
    <w:rsid w:val="000A2111"/>
    <w:rsid w:val="000A2743"/>
    <w:rsid w:val="000A27D8"/>
    <w:rsid w:val="000A3094"/>
    <w:rsid w:val="000A3DF0"/>
    <w:rsid w:val="000A4AF2"/>
    <w:rsid w:val="000A50FF"/>
    <w:rsid w:val="000A5766"/>
    <w:rsid w:val="000A5C8F"/>
    <w:rsid w:val="000A7A62"/>
    <w:rsid w:val="000A7BA9"/>
    <w:rsid w:val="000B0685"/>
    <w:rsid w:val="000B091D"/>
    <w:rsid w:val="000B0D37"/>
    <w:rsid w:val="000B0DAD"/>
    <w:rsid w:val="000B0F50"/>
    <w:rsid w:val="000B1E13"/>
    <w:rsid w:val="000B1F7C"/>
    <w:rsid w:val="000B2D11"/>
    <w:rsid w:val="000B2F7E"/>
    <w:rsid w:val="000B4505"/>
    <w:rsid w:val="000B5044"/>
    <w:rsid w:val="000B58DC"/>
    <w:rsid w:val="000B65FF"/>
    <w:rsid w:val="000B7A7B"/>
    <w:rsid w:val="000B7B80"/>
    <w:rsid w:val="000B7D76"/>
    <w:rsid w:val="000C0789"/>
    <w:rsid w:val="000C0D30"/>
    <w:rsid w:val="000C11B3"/>
    <w:rsid w:val="000C128A"/>
    <w:rsid w:val="000C1619"/>
    <w:rsid w:val="000C1707"/>
    <w:rsid w:val="000C1939"/>
    <w:rsid w:val="000C3051"/>
    <w:rsid w:val="000C3763"/>
    <w:rsid w:val="000C3D48"/>
    <w:rsid w:val="000C4142"/>
    <w:rsid w:val="000C445C"/>
    <w:rsid w:val="000C52DF"/>
    <w:rsid w:val="000C54E4"/>
    <w:rsid w:val="000C5A5C"/>
    <w:rsid w:val="000C6130"/>
    <w:rsid w:val="000C61EE"/>
    <w:rsid w:val="000C65C5"/>
    <w:rsid w:val="000C6887"/>
    <w:rsid w:val="000C6CCD"/>
    <w:rsid w:val="000C6EDF"/>
    <w:rsid w:val="000D1162"/>
    <w:rsid w:val="000D15A4"/>
    <w:rsid w:val="000D1BAF"/>
    <w:rsid w:val="000D24A2"/>
    <w:rsid w:val="000D281A"/>
    <w:rsid w:val="000D3550"/>
    <w:rsid w:val="000D36D0"/>
    <w:rsid w:val="000D3A9C"/>
    <w:rsid w:val="000D5205"/>
    <w:rsid w:val="000D54D0"/>
    <w:rsid w:val="000D63D7"/>
    <w:rsid w:val="000D647A"/>
    <w:rsid w:val="000D6ADE"/>
    <w:rsid w:val="000D75C4"/>
    <w:rsid w:val="000D7AD1"/>
    <w:rsid w:val="000E063B"/>
    <w:rsid w:val="000E0B52"/>
    <w:rsid w:val="000E0B86"/>
    <w:rsid w:val="000E1243"/>
    <w:rsid w:val="000E1776"/>
    <w:rsid w:val="000E1A7E"/>
    <w:rsid w:val="000E1D89"/>
    <w:rsid w:val="000E1F5C"/>
    <w:rsid w:val="000E1F86"/>
    <w:rsid w:val="000E2419"/>
    <w:rsid w:val="000E27BE"/>
    <w:rsid w:val="000E27D2"/>
    <w:rsid w:val="000E2886"/>
    <w:rsid w:val="000E2FF2"/>
    <w:rsid w:val="000E37F3"/>
    <w:rsid w:val="000E4AAF"/>
    <w:rsid w:val="000E5A1F"/>
    <w:rsid w:val="000E62E4"/>
    <w:rsid w:val="000E6863"/>
    <w:rsid w:val="000E686B"/>
    <w:rsid w:val="000E68C6"/>
    <w:rsid w:val="000F16FF"/>
    <w:rsid w:val="000F178B"/>
    <w:rsid w:val="000F26F4"/>
    <w:rsid w:val="000F33F5"/>
    <w:rsid w:val="000F4190"/>
    <w:rsid w:val="000F52EA"/>
    <w:rsid w:val="000F564F"/>
    <w:rsid w:val="000F57AE"/>
    <w:rsid w:val="000F71CA"/>
    <w:rsid w:val="000F7686"/>
    <w:rsid w:val="00100122"/>
    <w:rsid w:val="001005A4"/>
    <w:rsid w:val="00100EE8"/>
    <w:rsid w:val="0010209D"/>
    <w:rsid w:val="00102E71"/>
    <w:rsid w:val="00103207"/>
    <w:rsid w:val="001037DA"/>
    <w:rsid w:val="001044DC"/>
    <w:rsid w:val="001048C7"/>
    <w:rsid w:val="00104E5E"/>
    <w:rsid w:val="001067AD"/>
    <w:rsid w:val="001068D5"/>
    <w:rsid w:val="00106E87"/>
    <w:rsid w:val="00107721"/>
    <w:rsid w:val="00107F00"/>
    <w:rsid w:val="001129D1"/>
    <w:rsid w:val="00113160"/>
    <w:rsid w:val="00113362"/>
    <w:rsid w:val="00113F42"/>
    <w:rsid w:val="00114A83"/>
    <w:rsid w:val="00116D5C"/>
    <w:rsid w:val="00117246"/>
    <w:rsid w:val="00117C5A"/>
    <w:rsid w:val="00117FEF"/>
    <w:rsid w:val="00121A42"/>
    <w:rsid w:val="001252CA"/>
    <w:rsid w:val="001267D8"/>
    <w:rsid w:val="00126C93"/>
    <w:rsid w:val="001270F2"/>
    <w:rsid w:val="00127D6E"/>
    <w:rsid w:val="001320BD"/>
    <w:rsid w:val="001322A2"/>
    <w:rsid w:val="001323CD"/>
    <w:rsid w:val="0013307C"/>
    <w:rsid w:val="001332EB"/>
    <w:rsid w:val="00133F3D"/>
    <w:rsid w:val="00134285"/>
    <w:rsid w:val="001345C7"/>
    <w:rsid w:val="0013553F"/>
    <w:rsid w:val="00135AF3"/>
    <w:rsid w:val="00135B0C"/>
    <w:rsid w:val="001362F1"/>
    <w:rsid w:val="00136967"/>
    <w:rsid w:val="00136A1B"/>
    <w:rsid w:val="00136A50"/>
    <w:rsid w:val="00136C1E"/>
    <w:rsid w:val="00137489"/>
    <w:rsid w:val="0013794A"/>
    <w:rsid w:val="00140214"/>
    <w:rsid w:val="00140817"/>
    <w:rsid w:val="001409EF"/>
    <w:rsid w:val="00140DDD"/>
    <w:rsid w:val="001410CE"/>
    <w:rsid w:val="00141AA8"/>
    <w:rsid w:val="001425CE"/>
    <w:rsid w:val="001428E4"/>
    <w:rsid w:val="00142D5A"/>
    <w:rsid w:val="0014343A"/>
    <w:rsid w:val="001440DE"/>
    <w:rsid w:val="001445F8"/>
    <w:rsid w:val="0014462A"/>
    <w:rsid w:val="0014507B"/>
    <w:rsid w:val="00145748"/>
    <w:rsid w:val="00146FD7"/>
    <w:rsid w:val="00147897"/>
    <w:rsid w:val="00150642"/>
    <w:rsid w:val="001508D3"/>
    <w:rsid w:val="001509D0"/>
    <w:rsid w:val="00153A52"/>
    <w:rsid w:val="00153B03"/>
    <w:rsid w:val="00153CFD"/>
    <w:rsid w:val="00153E96"/>
    <w:rsid w:val="00154168"/>
    <w:rsid w:val="001543B5"/>
    <w:rsid w:val="00154ED1"/>
    <w:rsid w:val="00156CB1"/>
    <w:rsid w:val="00157CB3"/>
    <w:rsid w:val="0016012C"/>
    <w:rsid w:val="001603A8"/>
    <w:rsid w:val="0016126F"/>
    <w:rsid w:val="001622EA"/>
    <w:rsid w:val="0016243E"/>
    <w:rsid w:val="001626CF"/>
    <w:rsid w:val="00162905"/>
    <w:rsid w:val="00162EAC"/>
    <w:rsid w:val="00164111"/>
    <w:rsid w:val="0016492A"/>
    <w:rsid w:val="00165802"/>
    <w:rsid w:val="001661E4"/>
    <w:rsid w:val="0016632E"/>
    <w:rsid w:val="00166DBF"/>
    <w:rsid w:val="001679EF"/>
    <w:rsid w:val="0017031F"/>
    <w:rsid w:val="00170635"/>
    <w:rsid w:val="001709A7"/>
    <w:rsid w:val="00171154"/>
    <w:rsid w:val="0017139D"/>
    <w:rsid w:val="00171A5B"/>
    <w:rsid w:val="001721ED"/>
    <w:rsid w:val="00172477"/>
    <w:rsid w:val="001725CA"/>
    <w:rsid w:val="00172880"/>
    <w:rsid w:val="00172A65"/>
    <w:rsid w:val="00172BAA"/>
    <w:rsid w:val="00173842"/>
    <w:rsid w:val="00173C36"/>
    <w:rsid w:val="00173F35"/>
    <w:rsid w:val="00176F2B"/>
    <w:rsid w:val="00177ECF"/>
    <w:rsid w:val="001809F8"/>
    <w:rsid w:val="001817E3"/>
    <w:rsid w:val="00181D40"/>
    <w:rsid w:val="0018200F"/>
    <w:rsid w:val="001830AB"/>
    <w:rsid w:val="001842C5"/>
    <w:rsid w:val="00184826"/>
    <w:rsid w:val="0018495C"/>
    <w:rsid w:val="001852CD"/>
    <w:rsid w:val="00185E7A"/>
    <w:rsid w:val="00186982"/>
    <w:rsid w:val="00187077"/>
    <w:rsid w:val="00190125"/>
    <w:rsid w:val="001904A4"/>
    <w:rsid w:val="00191332"/>
    <w:rsid w:val="00191455"/>
    <w:rsid w:val="001920F8"/>
    <w:rsid w:val="001929FA"/>
    <w:rsid w:val="00193432"/>
    <w:rsid w:val="00193442"/>
    <w:rsid w:val="00194877"/>
    <w:rsid w:val="001949D8"/>
    <w:rsid w:val="00194E49"/>
    <w:rsid w:val="0019510C"/>
    <w:rsid w:val="00195693"/>
    <w:rsid w:val="0019619D"/>
    <w:rsid w:val="00196C3B"/>
    <w:rsid w:val="00196D06"/>
    <w:rsid w:val="00197356"/>
    <w:rsid w:val="001974CC"/>
    <w:rsid w:val="00197A14"/>
    <w:rsid w:val="001A05D8"/>
    <w:rsid w:val="001A0BB6"/>
    <w:rsid w:val="001A0BF6"/>
    <w:rsid w:val="001A0E4A"/>
    <w:rsid w:val="001A0F25"/>
    <w:rsid w:val="001A126E"/>
    <w:rsid w:val="001A1DEF"/>
    <w:rsid w:val="001A238E"/>
    <w:rsid w:val="001A2780"/>
    <w:rsid w:val="001A3761"/>
    <w:rsid w:val="001A41AC"/>
    <w:rsid w:val="001A421E"/>
    <w:rsid w:val="001A422B"/>
    <w:rsid w:val="001A5CA9"/>
    <w:rsid w:val="001A5CBE"/>
    <w:rsid w:val="001A681F"/>
    <w:rsid w:val="001A6CF6"/>
    <w:rsid w:val="001A7449"/>
    <w:rsid w:val="001A7948"/>
    <w:rsid w:val="001A79C5"/>
    <w:rsid w:val="001A7F0F"/>
    <w:rsid w:val="001B0BA5"/>
    <w:rsid w:val="001B0E08"/>
    <w:rsid w:val="001B1F6F"/>
    <w:rsid w:val="001B257A"/>
    <w:rsid w:val="001B30F6"/>
    <w:rsid w:val="001B3607"/>
    <w:rsid w:val="001B42DD"/>
    <w:rsid w:val="001B46F0"/>
    <w:rsid w:val="001B4920"/>
    <w:rsid w:val="001B4961"/>
    <w:rsid w:val="001B526E"/>
    <w:rsid w:val="001B5DE6"/>
    <w:rsid w:val="001B670F"/>
    <w:rsid w:val="001B67FF"/>
    <w:rsid w:val="001B6CF9"/>
    <w:rsid w:val="001B7166"/>
    <w:rsid w:val="001B790B"/>
    <w:rsid w:val="001B7D58"/>
    <w:rsid w:val="001C07AC"/>
    <w:rsid w:val="001C1EF6"/>
    <w:rsid w:val="001C1FF8"/>
    <w:rsid w:val="001C2181"/>
    <w:rsid w:val="001C2304"/>
    <w:rsid w:val="001C2C40"/>
    <w:rsid w:val="001C3993"/>
    <w:rsid w:val="001C4544"/>
    <w:rsid w:val="001C5537"/>
    <w:rsid w:val="001C563C"/>
    <w:rsid w:val="001C5EB4"/>
    <w:rsid w:val="001C6224"/>
    <w:rsid w:val="001D06C9"/>
    <w:rsid w:val="001D0DF0"/>
    <w:rsid w:val="001D1AF9"/>
    <w:rsid w:val="001D20DB"/>
    <w:rsid w:val="001D216F"/>
    <w:rsid w:val="001D2E1F"/>
    <w:rsid w:val="001D3B00"/>
    <w:rsid w:val="001D3B87"/>
    <w:rsid w:val="001D3F7C"/>
    <w:rsid w:val="001D4191"/>
    <w:rsid w:val="001D59A0"/>
    <w:rsid w:val="001D5B9A"/>
    <w:rsid w:val="001D675B"/>
    <w:rsid w:val="001D7282"/>
    <w:rsid w:val="001E10BC"/>
    <w:rsid w:val="001E1484"/>
    <w:rsid w:val="001E1E3D"/>
    <w:rsid w:val="001E1FD7"/>
    <w:rsid w:val="001E24E9"/>
    <w:rsid w:val="001E3035"/>
    <w:rsid w:val="001E3111"/>
    <w:rsid w:val="001E3177"/>
    <w:rsid w:val="001E379B"/>
    <w:rsid w:val="001E3C03"/>
    <w:rsid w:val="001E4939"/>
    <w:rsid w:val="001E5E3A"/>
    <w:rsid w:val="001E6211"/>
    <w:rsid w:val="001E6D27"/>
    <w:rsid w:val="001E76EE"/>
    <w:rsid w:val="001E77E7"/>
    <w:rsid w:val="001F0597"/>
    <w:rsid w:val="001F0C3D"/>
    <w:rsid w:val="001F0E1E"/>
    <w:rsid w:val="001F12C0"/>
    <w:rsid w:val="001F16CA"/>
    <w:rsid w:val="001F1BF6"/>
    <w:rsid w:val="001F269A"/>
    <w:rsid w:val="001F2C52"/>
    <w:rsid w:val="001F2E18"/>
    <w:rsid w:val="001F380E"/>
    <w:rsid w:val="001F3F54"/>
    <w:rsid w:val="001F43B7"/>
    <w:rsid w:val="001F4E4C"/>
    <w:rsid w:val="001F6B1D"/>
    <w:rsid w:val="001F74DF"/>
    <w:rsid w:val="001F7679"/>
    <w:rsid w:val="00200426"/>
    <w:rsid w:val="00200940"/>
    <w:rsid w:val="00200A7E"/>
    <w:rsid w:val="00201132"/>
    <w:rsid w:val="002011D2"/>
    <w:rsid w:val="002015CC"/>
    <w:rsid w:val="0020179C"/>
    <w:rsid w:val="00201E04"/>
    <w:rsid w:val="0020203A"/>
    <w:rsid w:val="0020248D"/>
    <w:rsid w:val="00202D49"/>
    <w:rsid w:val="00203635"/>
    <w:rsid w:val="00203B37"/>
    <w:rsid w:val="00203DD7"/>
    <w:rsid w:val="00205209"/>
    <w:rsid w:val="002065AC"/>
    <w:rsid w:val="00206A21"/>
    <w:rsid w:val="00207C35"/>
    <w:rsid w:val="00210670"/>
    <w:rsid w:val="00211109"/>
    <w:rsid w:val="002118EF"/>
    <w:rsid w:val="00212309"/>
    <w:rsid w:val="00212A38"/>
    <w:rsid w:val="00212CD2"/>
    <w:rsid w:val="00212E04"/>
    <w:rsid w:val="00213368"/>
    <w:rsid w:val="00213D0D"/>
    <w:rsid w:val="0021490F"/>
    <w:rsid w:val="002153D7"/>
    <w:rsid w:val="00215667"/>
    <w:rsid w:val="00215FFB"/>
    <w:rsid w:val="00216D55"/>
    <w:rsid w:val="00217067"/>
    <w:rsid w:val="00217F01"/>
    <w:rsid w:val="00220852"/>
    <w:rsid w:val="00220D02"/>
    <w:rsid w:val="00221002"/>
    <w:rsid w:val="002229BB"/>
    <w:rsid w:val="002242D4"/>
    <w:rsid w:val="00224EAC"/>
    <w:rsid w:val="00225A44"/>
    <w:rsid w:val="00225FA8"/>
    <w:rsid w:val="0022715D"/>
    <w:rsid w:val="00227B0D"/>
    <w:rsid w:val="00227F00"/>
    <w:rsid w:val="00230358"/>
    <w:rsid w:val="00230931"/>
    <w:rsid w:val="00230B51"/>
    <w:rsid w:val="00230C92"/>
    <w:rsid w:val="00230FB1"/>
    <w:rsid w:val="00231E49"/>
    <w:rsid w:val="00232115"/>
    <w:rsid w:val="00232F5F"/>
    <w:rsid w:val="00234133"/>
    <w:rsid w:val="0023461B"/>
    <w:rsid w:val="00234C42"/>
    <w:rsid w:val="002357BF"/>
    <w:rsid w:val="00235EF1"/>
    <w:rsid w:val="00235F3D"/>
    <w:rsid w:val="00236B34"/>
    <w:rsid w:val="0024266D"/>
    <w:rsid w:val="00242BF3"/>
    <w:rsid w:val="00242E3F"/>
    <w:rsid w:val="0024300F"/>
    <w:rsid w:val="00244244"/>
    <w:rsid w:val="002444CA"/>
    <w:rsid w:val="00244669"/>
    <w:rsid w:val="002447BD"/>
    <w:rsid w:val="0024578F"/>
    <w:rsid w:val="0024582E"/>
    <w:rsid w:val="00246D6F"/>
    <w:rsid w:val="00247137"/>
    <w:rsid w:val="00250104"/>
    <w:rsid w:val="002501F6"/>
    <w:rsid w:val="00250356"/>
    <w:rsid w:val="00250CEC"/>
    <w:rsid w:val="00250EA1"/>
    <w:rsid w:val="00250ECF"/>
    <w:rsid w:val="002527F5"/>
    <w:rsid w:val="0025283E"/>
    <w:rsid w:val="002528C8"/>
    <w:rsid w:val="0025366A"/>
    <w:rsid w:val="00254917"/>
    <w:rsid w:val="00254E7E"/>
    <w:rsid w:val="00254FCA"/>
    <w:rsid w:val="00255D1E"/>
    <w:rsid w:val="00256395"/>
    <w:rsid w:val="002566EE"/>
    <w:rsid w:val="00256C21"/>
    <w:rsid w:val="00256EB3"/>
    <w:rsid w:val="00257074"/>
    <w:rsid w:val="00260DAF"/>
    <w:rsid w:val="0026178F"/>
    <w:rsid w:val="0026197F"/>
    <w:rsid w:val="00261CA2"/>
    <w:rsid w:val="002623C8"/>
    <w:rsid w:val="00262D9C"/>
    <w:rsid w:val="00264A14"/>
    <w:rsid w:val="00265262"/>
    <w:rsid w:val="00266572"/>
    <w:rsid w:val="0026754D"/>
    <w:rsid w:val="00267BA6"/>
    <w:rsid w:val="00267F1F"/>
    <w:rsid w:val="0027082D"/>
    <w:rsid w:val="00270970"/>
    <w:rsid w:val="00271038"/>
    <w:rsid w:val="00271992"/>
    <w:rsid w:val="002724E6"/>
    <w:rsid w:val="00272614"/>
    <w:rsid w:val="00272632"/>
    <w:rsid w:val="00272AB5"/>
    <w:rsid w:val="00272D0F"/>
    <w:rsid w:val="0027468C"/>
    <w:rsid w:val="002747F0"/>
    <w:rsid w:val="00277277"/>
    <w:rsid w:val="00277BEF"/>
    <w:rsid w:val="0028011B"/>
    <w:rsid w:val="00280A53"/>
    <w:rsid w:val="0028194B"/>
    <w:rsid w:val="002819D1"/>
    <w:rsid w:val="00281E2D"/>
    <w:rsid w:val="00282159"/>
    <w:rsid w:val="00282B43"/>
    <w:rsid w:val="00282C51"/>
    <w:rsid w:val="00283868"/>
    <w:rsid w:val="002839E7"/>
    <w:rsid w:val="00283B23"/>
    <w:rsid w:val="002849EB"/>
    <w:rsid w:val="0028533D"/>
    <w:rsid w:val="0028588E"/>
    <w:rsid w:val="00286641"/>
    <w:rsid w:val="00286C4B"/>
    <w:rsid w:val="00290356"/>
    <w:rsid w:val="00290AFD"/>
    <w:rsid w:val="00290E06"/>
    <w:rsid w:val="00291AA4"/>
    <w:rsid w:val="002924F0"/>
    <w:rsid w:val="00292977"/>
    <w:rsid w:val="002929F9"/>
    <w:rsid w:val="00293837"/>
    <w:rsid w:val="002941AF"/>
    <w:rsid w:val="00294640"/>
    <w:rsid w:val="002955FF"/>
    <w:rsid w:val="0029576A"/>
    <w:rsid w:val="00295884"/>
    <w:rsid w:val="00295BFF"/>
    <w:rsid w:val="00295D2B"/>
    <w:rsid w:val="00296500"/>
    <w:rsid w:val="00296ABE"/>
    <w:rsid w:val="0029719E"/>
    <w:rsid w:val="00297200"/>
    <w:rsid w:val="00297621"/>
    <w:rsid w:val="002A0A95"/>
    <w:rsid w:val="002A27F4"/>
    <w:rsid w:val="002A33C1"/>
    <w:rsid w:val="002A3899"/>
    <w:rsid w:val="002A3FCE"/>
    <w:rsid w:val="002A423F"/>
    <w:rsid w:val="002A44BA"/>
    <w:rsid w:val="002A48A8"/>
    <w:rsid w:val="002A4E83"/>
    <w:rsid w:val="002A5224"/>
    <w:rsid w:val="002A7BC8"/>
    <w:rsid w:val="002B04CA"/>
    <w:rsid w:val="002B06E0"/>
    <w:rsid w:val="002B0ABD"/>
    <w:rsid w:val="002B13C6"/>
    <w:rsid w:val="002B1AC5"/>
    <w:rsid w:val="002B1DAD"/>
    <w:rsid w:val="002B22A4"/>
    <w:rsid w:val="002B2469"/>
    <w:rsid w:val="002B317C"/>
    <w:rsid w:val="002B3228"/>
    <w:rsid w:val="002B396D"/>
    <w:rsid w:val="002B42DB"/>
    <w:rsid w:val="002B4F7F"/>
    <w:rsid w:val="002B6586"/>
    <w:rsid w:val="002B7727"/>
    <w:rsid w:val="002C0038"/>
    <w:rsid w:val="002C01E7"/>
    <w:rsid w:val="002C0B1D"/>
    <w:rsid w:val="002C1350"/>
    <w:rsid w:val="002C1AAD"/>
    <w:rsid w:val="002C2781"/>
    <w:rsid w:val="002C2801"/>
    <w:rsid w:val="002C29A7"/>
    <w:rsid w:val="002C31B3"/>
    <w:rsid w:val="002C38D1"/>
    <w:rsid w:val="002C3F71"/>
    <w:rsid w:val="002C41B6"/>
    <w:rsid w:val="002C424D"/>
    <w:rsid w:val="002C4832"/>
    <w:rsid w:val="002C4EAB"/>
    <w:rsid w:val="002C5287"/>
    <w:rsid w:val="002C5BF9"/>
    <w:rsid w:val="002C5F45"/>
    <w:rsid w:val="002C607E"/>
    <w:rsid w:val="002C64D4"/>
    <w:rsid w:val="002C6597"/>
    <w:rsid w:val="002C7718"/>
    <w:rsid w:val="002C7A52"/>
    <w:rsid w:val="002D0746"/>
    <w:rsid w:val="002D0946"/>
    <w:rsid w:val="002D0A41"/>
    <w:rsid w:val="002D0BA9"/>
    <w:rsid w:val="002D15FE"/>
    <w:rsid w:val="002D2BD2"/>
    <w:rsid w:val="002D3201"/>
    <w:rsid w:val="002D33E2"/>
    <w:rsid w:val="002D3709"/>
    <w:rsid w:val="002D4B0E"/>
    <w:rsid w:val="002D4E10"/>
    <w:rsid w:val="002D5FAC"/>
    <w:rsid w:val="002D62DA"/>
    <w:rsid w:val="002D67C7"/>
    <w:rsid w:val="002D69F8"/>
    <w:rsid w:val="002D77A8"/>
    <w:rsid w:val="002D7F1A"/>
    <w:rsid w:val="002E0A16"/>
    <w:rsid w:val="002E1085"/>
    <w:rsid w:val="002E10BB"/>
    <w:rsid w:val="002E1C10"/>
    <w:rsid w:val="002E1E6A"/>
    <w:rsid w:val="002E3C95"/>
    <w:rsid w:val="002E435F"/>
    <w:rsid w:val="002E5CC8"/>
    <w:rsid w:val="002E5FD5"/>
    <w:rsid w:val="002E61FA"/>
    <w:rsid w:val="002E6942"/>
    <w:rsid w:val="002F1741"/>
    <w:rsid w:val="002F1A78"/>
    <w:rsid w:val="002F2428"/>
    <w:rsid w:val="002F2D4A"/>
    <w:rsid w:val="002F2F2A"/>
    <w:rsid w:val="002F31D5"/>
    <w:rsid w:val="002F3A3F"/>
    <w:rsid w:val="002F43BA"/>
    <w:rsid w:val="002F512F"/>
    <w:rsid w:val="002F559D"/>
    <w:rsid w:val="002F5962"/>
    <w:rsid w:val="002F7097"/>
    <w:rsid w:val="003003D5"/>
    <w:rsid w:val="00300F37"/>
    <w:rsid w:val="0030140A"/>
    <w:rsid w:val="00301803"/>
    <w:rsid w:val="00301B31"/>
    <w:rsid w:val="00302790"/>
    <w:rsid w:val="00302B9E"/>
    <w:rsid w:val="00302E4B"/>
    <w:rsid w:val="00303B6F"/>
    <w:rsid w:val="0030445B"/>
    <w:rsid w:val="003045BE"/>
    <w:rsid w:val="00304B54"/>
    <w:rsid w:val="0030669B"/>
    <w:rsid w:val="00306A5A"/>
    <w:rsid w:val="00306B4E"/>
    <w:rsid w:val="00307EDA"/>
    <w:rsid w:val="003109AE"/>
    <w:rsid w:val="00311597"/>
    <w:rsid w:val="0031242F"/>
    <w:rsid w:val="003126F6"/>
    <w:rsid w:val="0031294C"/>
    <w:rsid w:val="00313FC9"/>
    <w:rsid w:val="00315150"/>
    <w:rsid w:val="00315238"/>
    <w:rsid w:val="003153E6"/>
    <w:rsid w:val="003156B7"/>
    <w:rsid w:val="00315E7A"/>
    <w:rsid w:val="0031750A"/>
    <w:rsid w:val="0031777D"/>
    <w:rsid w:val="00317B7D"/>
    <w:rsid w:val="00320A67"/>
    <w:rsid w:val="0032172F"/>
    <w:rsid w:val="00321974"/>
    <w:rsid w:val="00321A4A"/>
    <w:rsid w:val="00321F71"/>
    <w:rsid w:val="003222E0"/>
    <w:rsid w:val="00322875"/>
    <w:rsid w:val="003228D8"/>
    <w:rsid w:val="00322EEE"/>
    <w:rsid w:val="00323E62"/>
    <w:rsid w:val="0032409D"/>
    <w:rsid w:val="003245C7"/>
    <w:rsid w:val="003248AB"/>
    <w:rsid w:val="00325783"/>
    <w:rsid w:val="00325AC1"/>
    <w:rsid w:val="003261CC"/>
    <w:rsid w:val="00326AC4"/>
    <w:rsid w:val="0032789D"/>
    <w:rsid w:val="00327C1A"/>
    <w:rsid w:val="00327C7C"/>
    <w:rsid w:val="003324FD"/>
    <w:rsid w:val="003336FE"/>
    <w:rsid w:val="00334071"/>
    <w:rsid w:val="0033548D"/>
    <w:rsid w:val="003360BB"/>
    <w:rsid w:val="00340152"/>
    <w:rsid w:val="00340919"/>
    <w:rsid w:val="00340E60"/>
    <w:rsid w:val="003418F4"/>
    <w:rsid w:val="00341C4E"/>
    <w:rsid w:val="00342501"/>
    <w:rsid w:val="00342A53"/>
    <w:rsid w:val="00342ED5"/>
    <w:rsid w:val="0034359B"/>
    <w:rsid w:val="00343C8B"/>
    <w:rsid w:val="00344F53"/>
    <w:rsid w:val="003458A4"/>
    <w:rsid w:val="003477E3"/>
    <w:rsid w:val="0035014F"/>
    <w:rsid w:val="003501CF"/>
    <w:rsid w:val="003502FB"/>
    <w:rsid w:val="00351153"/>
    <w:rsid w:val="00351785"/>
    <w:rsid w:val="0035196C"/>
    <w:rsid w:val="00351F1D"/>
    <w:rsid w:val="003523F7"/>
    <w:rsid w:val="003529A1"/>
    <w:rsid w:val="003545CF"/>
    <w:rsid w:val="0035601F"/>
    <w:rsid w:val="0035660F"/>
    <w:rsid w:val="00356E42"/>
    <w:rsid w:val="00357664"/>
    <w:rsid w:val="00360CD1"/>
    <w:rsid w:val="003622A6"/>
    <w:rsid w:val="00362334"/>
    <w:rsid w:val="00362726"/>
    <w:rsid w:val="00362DE9"/>
    <w:rsid w:val="00363179"/>
    <w:rsid w:val="00363614"/>
    <w:rsid w:val="00364953"/>
    <w:rsid w:val="003649A2"/>
    <w:rsid w:val="00364B7C"/>
    <w:rsid w:val="00364FD2"/>
    <w:rsid w:val="0036514D"/>
    <w:rsid w:val="0036541D"/>
    <w:rsid w:val="00365E7F"/>
    <w:rsid w:val="003664AF"/>
    <w:rsid w:val="003664E0"/>
    <w:rsid w:val="003673A9"/>
    <w:rsid w:val="003705ED"/>
    <w:rsid w:val="00370E09"/>
    <w:rsid w:val="0037105E"/>
    <w:rsid w:val="0037174B"/>
    <w:rsid w:val="0037289B"/>
    <w:rsid w:val="00372EA4"/>
    <w:rsid w:val="00372EB3"/>
    <w:rsid w:val="0037391B"/>
    <w:rsid w:val="00374A65"/>
    <w:rsid w:val="003753F8"/>
    <w:rsid w:val="0037667D"/>
    <w:rsid w:val="00376A28"/>
    <w:rsid w:val="003775B5"/>
    <w:rsid w:val="00377786"/>
    <w:rsid w:val="00377DE4"/>
    <w:rsid w:val="003809E0"/>
    <w:rsid w:val="00380C3C"/>
    <w:rsid w:val="00380C68"/>
    <w:rsid w:val="00380FC3"/>
    <w:rsid w:val="003810D8"/>
    <w:rsid w:val="0038243F"/>
    <w:rsid w:val="0038248C"/>
    <w:rsid w:val="00382742"/>
    <w:rsid w:val="00382B02"/>
    <w:rsid w:val="0038307A"/>
    <w:rsid w:val="003831C9"/>
    <w:rsid w:val="0038384F"/>
    <w:rsid w:val="0038398E"/>
    <w:rsid w:val="0038413C"/>
    <w:rsid w:val="0038539C"/>
    <w:rsid w:val="00385E31"/>
    <w:rsid w:val="00385F15"/>
    <w:rsid w:val="00386652"/>
    <w:rsid w:val="00386FF0"/>
    <w:rsid w:val="00387150"/>
    <w:rsid w:val="003900EC"/>
    <w:rsid w:val="0039073C"/>
    <w:rsid w:val="00390AE9"/>
    <w:rsid w:val="0039139F"/>
    <w:rsid w:val="003923D9"/>
    <w:rsid w:val="00392749"/>
    <w:rsid w:val="003928D1"/>
    <w:rsid w:val="00393B22"/>
    <w:rsid w:val="00393F7B"/>
    <w:rsid w:val="00394859"/>
    <w:rsid w:val="00394FC9"/>
    <w:rsid w:val="00395E0B"/>
    <w:rsid w:val="0039646E"/>
    <w:rsid w:val="00396506"/>
    <w:rsid w:val="00396AE3"/>
    <w:rsid w:val="00397189"/>
    <w:rsid w:val="003974EB"/>
    <w:rsid w:val="0039774F"/>
    <w:rsid w:val="003A0625"/>
    <w:rsid w:val="003A0FAB"/>
    <w:rsid w:val="003A2654"/>
    <w:rsid w:val="003A2915"/>
    <w:rsid w:val="003A2C88"/>
    <w:rsid w:val="003A40A4"/>
    <w:rsid w:val="003A427E"/>
    <w:rsid w:val="003A4C5F"/>
    <w:rsid w:val="003A51CB"/>
    <w:rsid w:val="003A57B4"/>
    <w:rsid w:val="003A5A9B"/>
    <w:rsid w:val="003A6860"/>
    <w:rsid w:val="003A69A5"/>
    <w:rsid w:val="003A7C3E"/>
    <w:rsid w:val="003A7FEF"/>
    <w:rsid w:val="003B0D28"/>
    <w:rsid w:val="003B213C"/>
    <w:rsid w:val="003B21FB"/>
    <w:rsid w:val="003B3400"/>
    <w:rsid w:val="003B39C9"/>
    <w:rsid w:val="003B3B88"/>
    <w:rsid w:val="003B3D0C"/>
    <w:rsid w:val="003B4A2A"/>
    <w:rsid w:val="003B5F8E"/>
    <w:rsid w:val="003B7277"/>
    <w:rsid w:val="003B7F58"/>
    <w:rsid w:val="003C018F"/>
    <w:rsid w:val="003C1007"/>
    <w:rsid w:val="003C20E0"/>
    <w:rsid w:val="003C2492"/>
    <w:rsid w:val="003C2AB1"/>
    <w:rsid w:val="003C4423"/>
    <w:rsid w:val="003C5F16"/>
    <w:rsid w:val="003C5FD1"/>
    <w:rsid w:val="003C6468"/>
    <w:rsid w:val="003C64E7"/>
    <w:rsid w:val="003C6F21"/>
    <w:rsid w:val="003C765F"/>
    <w:rsid w:val="003C7888"/>
    <w:rsid w:val="003C7C0A"/>
    <w:rsid w:val="003C7CA1"/>
    <w:rsid w:val="003D0F67"/>
    <w:rsid w:val="003D1CCB"/>
    <w:rsid w:val="003D1CEE"/>
    <w:rsid w:val="003D1E99"/>
    <w:rsid w:val="003D23E2"/>
    <w:rsid w:val="003D27F2"/>
    <w:rsid w:val="003D2D7A"/>
    <w:rsid w:val="003D3785"/>
    <w:rsid w:val="003D3BE2"/>
    <w:rsid w:val="003D424A"/>
    <w:rsid w:val="003D449F"/>
    <w:rsid w:val="003D458B"/>
    <w:rsid w:val="003D4B01"/>
    <w:rsid w:val="003D54D2"/>
    <w:rsid w:val="003D6821"/>
    <w:rsid w:val="003D7D3A"/>
    <w:rsid w:val="003D7F74"/>
    <w:rsid w:val="003E0B70"/>
    <w:rsid w:val="003E1116"/>
    <w:rsid w:val="003E14CA"/>
    <w:rsid w:val="003E1DB6"/>
    <w:rsid w:val="003E1F06"/>
    <w:rsid w:val="003E330D"/>
    <w:rsid w:val="003E3A3D"/>
    <w:rsid w:val="003E3D9B"/>
    <w:rsid w:val="003E3FD2"/>
    <w:rsid w:val="003E4F0F"/>
    <w:rsid w:val="003E56D8"/>
    <w:rsid w:val="003E6143"/>
    <w:rsid w:val="003E65EA"/>
    <w:rsid w:val="003E6CCC"/>
    <w:rsid w:val="003E7025"/>
    <w:rsid w:val="003F0E25"/>
    <w:rsid w:val="003F0F08"/>
    <w:rsid w:val="003F1869"/>
    <w:rsid w:val="003F2651"/>
    <w:rsid w:val="003F2770"/>
    <w:rsid w:val="003F293D"/>
    <w:rsid w:val="003F31E3"/>
    <w:rsid w:val="003F3317"/>
    <w:rsid w:val="003F3D91"/>
    <w:rsid w:val="003F4382"/>
    <w:rsid w:val="003F5619"/>
    <w:rsid w:val="003F5CFA"/>
    <w:rsid w:val="003F638A"/>
    <w:rsid w:val="003F6827"/>
    <w:rsid w:val="003F6CB3"/>
    <w:rsid w:val="003F732F"/>
    <w:rsid w:val="00400C8C"/>
    <w:rsid w:val="00401194"/>
    <w:rsid w:val="00401B8D"/>
    <w:rsid w:val="00403487"/>
    <w:rsid w:val="00403AC5"/>
    <w:rsid w:val="00403E1E"/>
    <w:rsid w:val="00403F88"/>
    <w:rsid w:val="004042EC"/>
    <w:rsid w:val="00404970"/>
    <w:rsid w:val="004055FC"/>
    <w:rsid w:val="00406878"/>
    <w:rsid w:val="00406F6D"/>
    <w:rsid w:val="004071B5"/>
    <w:rsid w:val="00407BA3"/>
    <w:rsid w:val="00407CFE"/>
    <w:rsid w:val="00407F1C"/>
    <w:rsid w:val="0041020A"/>
    <w:rsid w:val="0041056C"/>
    <w:rsid w:val="0041079D"/>
    <w:rsid w:val="00410843"/>
    <w:rsid w:val="00411071"/>
    <w:rsid w:val="0041184A"/>
    <w:rsid w:val="00411A1B"/>
    <w:rsid w:val="004124FC"/>
    <w:rsid w:val="004138BA"/>
    <w:rsid w:val="00413BCA"/>
    <w:rsid w:val="00413D93"/>
    <w:rsid w:val="00414AC2"/>
    <w:rsid w:val="00415126"/>
    <w:rsid w:val="00415AB3"/>
    <w:rsid w:val="00415E97"/>
    <w:rsid w:val="00416392"/>
    <w:rsid w:val="00416838"/>
    <w:rsid w:val="00416880"/>
    <w:rsid w:val="00417D36"/>
    <w:rsid w:val="00417F2A"/>
    <w:rsid w:val="0042063F"/>
    <w:rsid w:val="004208D9"/>
    <w:rsid w:val="00421515"/>
    <w:rsid w:val="0042151B"/>
    <w:rsid w:val="00421710"/>
    <w:rsid w:val="00421D56"/>
    <w:rsid w:val="00422076"/>
    <w:rsid w:val="00422BB9"/>
    <w:rsid w:val="00422EF5"/>
    <w:rsid w:val="00423214"/>
    <w:rsid w:val="00424515"/>
    <w:rsid w:val="0042506A"/>
    <w:rsid w:val="00425085"/>
    <w:rsid w:val="00425584"/>
    <w:rsid w:val="0042570A"/>
    <w:rsid w:val="00426AB5"/>
    <w:rsid w:val="00426F8C"/>
    <w:rsid w:val="00427386"/>
    <w:rsid w:val="004276BA"/>
    <w:rsid w:val="0043001E"/>
    <w:rsid w:val="0043084C"/>
    <w:rsid w:val="00430950"/>
    <w:rsid w:val="00430FFD"/>
    <w:rsid w:val="004311BC"/>
    <w:rsid w:val="004318FC"/>
    <w:rsid w:val="00431C79"/>
    <w:rsid w:val="00432782"/>
    <w:rsid w:val="00432ABD"/>
    <w:rsid w:val="0043397D"/>
    <w:rsid w:val="00433D93"/>
    <w:rsid w:val="004353AF"/>
    <w:rsid w:val="00435893"/>
    <w:rsid w:val="004374AD"/>
    <w:rsid w:val="00440045"/>
    <w:rsid w:val="00441CAA"/>
    <w:rsid w:val="00441E04"/>
    <w:rsid w:val="00441FB2"/>
    <w:rsid w:val="00442387"/>
    <w:rsid w:val="00444C52"/>
    <w:rsid w:val="004450F0"/>
    <w:rsid w:val="00445921"/>
    <w:rsid w:val="00445B3C"/>
    <w:rsid w:val="00445D41"/>
    <w:rsid w:val="00446815"/>
    <w:rsid w:val="00446D7E"/>
    <w:rsid w:val="00447296"/>
    <w:rsid w:val="00447401"/>
    <w:rsid w:val="004475BD"/>
    <w:rsid w:val="00447CED"/>
    <w:rsid w:val="00450380"/>
    <w:rsid w:val="00450D75"/>
    <w:rsid w:val="00451145"/>
    <w:rsid w:val="004518F1"/>
    <w:rsid w:val="00452EDB"/>
    <w:rsid w:val="004532E2"/>
    <w:rsid w:val="00453CAB"/>
    <w:rsid w:val="00453CC9"/>
    <w:rsid w:val="004546BC"/>
    <w:rsid w:val="00454946"/>
    <w:rsid w:val="00455B02"/>
    <w:rsid w:val="00455ECF"/>
    <w:rsid w:val="00455F43"/>
    <w:rsid w:val="00457734"/>
    <w:rsid w:val="00457E40"/>
    <w:rsid w:val="00457E91"/>
    <w:rsid w:val="0046051D"/>
    <w:rsid w:val="00460C30"/>
    <w:rsid w:val="0046140E"/>
    <w:rsid w:val="004629BB"/>
    <w:rsid w:val="0046331E"/>
    <w:rsid w:val="00463B50"/>
    <w:rsid w:val="0046425C"/>
    <w:rsid w:val="004643B7"/>
    <w:rsid w:val="004645F2"/>
    <w:rsid w:val="00464B54"/>
    <w:rsid w:val="004655AB"/>
    <w:rsid w:val="004658C3"/>
    <w:rsid w:val="004665BB"/>
    <w:rsid w:val="00466D99"/>
    <w:rsid w:val="00466D9E"/>
    <w:rsid w:val="00466F4D"/>
    <w:rsid w:val="00467667"/>
    <w:rsid w:val="00467699"/>
    <w:rsid w:val="00467843"/>
    <w:rsid w:val="0047045E"/>
    <w:rsid w:val="004705DB"/>
    <w:rsid w:val="00471795"/>
    <w:rsid w:val="00471D9C"/>
    <w:rsid w:val="00472043"/>
    <w:rsid w:val="00472D5F"/>
    <w:rsid w:val="00472E66"/>
    <w:rsid w:val="00473657"/>
    <w:rsid w:val="00473815"/>
    <w:rsid w:val="00474B6F"/>
    <w:rsid w:val="00474BCD"/>
    <w:rsid w:val="00474E77"/>
    <w:rsid w:val="00475917"/>
    <w:rsid w:val="00475E84"/>
    <w:rsid w:val="004765AE"/>
    <w:rsid w:val="00477009"/>
    <w:rsid w:val="00480646"/>
    <w:rsid w:val="004806FF"/>
    <w:rsid w:val="0048073E"/>
    <w:rsid w:val="0048078B"/>
    <w:rsid w:val="00480E13"/>
    <w:rsid w:val="00481A30"/>
    <w:rsid w:val="00481A77"/>
    <w:rsid w:val="0048271F"/>
    <w:rsid w:val="00482E70"/>
    <w:rsid w:val="00485299"/>
    <w:rsid w:val="00485A41"/>
    <w:rsid w:val="00486149"/>
    <w:rsid w:val="0048651E"/>
    <w:rsid w:val="004865DA"/>
    <w:rsid w:val="00486A23"/>
    <w:rsid w:val="004874C2"/>
    <w:rsid w:val="004902C5"/>
    <w:rsid w:val="0049049E"/>
    <w:rsid w:val="00492B5C"/>
    <w:rsid w:val="00493A72"/>
    <w:rsid w:val="00493B49"/>
    <w:rsid w:val="00494252"/>
    <w:rsid w:val="00494DA2"/>
    <w:rsid w:val="00495751"/>
    <w:rsid w:val="00495D3B"/>
    <w:rsid w:val="004969EE"/>
    <w:rsid w:val="00496E83"/>
    <w:rsid w:val="00497AD0"/>
    <w:rsid w:val="004A0372"/>
    <w:rsid w:val="004A0508"/>
    <w:rsid w:val="004A089B"/>
    <w:rsid w:val="004A0BFC"/>
    <w:rsid w:val="004A10C6"/>
    <w:rsid w:val="004A2914"/>
    <w:rsid w:val="004A2B42"/>
    <w:rsid w:val="004A3207"/>
    <w:rsid w:val="004A3C70"/>
    <w:rsid w:val="004A3E4E"/>
    <w:rsid w:val="004A4343"/>
    <w:rsid w:val="004A43AD"/>
    <w:rsid w:val="004A44AC"/>
    <w:rsid w:val="004A4563"/>
    <w:rsid w:val="004A5099"/>
    <w:rsid w:val="004A514D"/>
    <w:rsid w:val="004A5DF4"/>
    <w:rsid w:val="004A6858"/>
    <w:rsid w:val="004A68FD"/>
    <w:rsid w:val="004A7273"/>
    <w:rsid w:val="004A7BD7"/>
    <w:rsid w:val="004B0505"/>
    <w:rsid w:val="004B1B2A"/>
    <w:rsid w:val="004B2674"/>
    <w:rsid w:val="004B2993"/>
    <w:rsid w:val="004B3489"/>
    <w:rsid w:val="004B3AA8"/>
    <w:rsid w:val="004B3DA9"/>
    <w:rsid w:val="004B4097"/>
    <w:rsid w:val="004B434A"/>
    <w:rsid w:val="004B46BD"/>
    <w:rsid w:val="004B482A"/>
    <w:rsid w:val="004B5D4C"/>
    <w:rsid w:val="004B68F2"/>
    <w:rsid w:val="004B690A"/>
    <w:rsid w:val="004B6969"/>
    <w:rsid w:val="004B6DDB"/>
    <w:rsid w:val="004B7E77"/>
    <w:rsid w:val="004C06E9"/>
    <w:rsid w:val="004C0895"/>
    <w:rsid w:val="004C0CE9"/>
    <w:rsid w:val="004C18A2"/>
    <w:rsid w:val="004C1E0F"/>
    <w:rsid w:val="004C3233"/>
    <w:rsid w:val="004C33FC"/>
    <w:rsid w:val="004C3AD6"/>
    <w:rsid w:val="004C42EE"/>
    <w:rsid w:val="004C527D"/>
    <w:rsid w:val="004C779E"/>
    <w:rsid w:val="004C7C1A"/>
    <w:rsid w:val="004D0346"/>
    <w:rsid w:val="004D04E7"/>
    <w:rsid w:val="004D1029"/>
    <w:rsid w:val="004D2394"/>
    <w:rsid w:val="004D2E21"/>
    <w:rsid w:val="004D3900"/>
    <w:rsid w:val="004D4740"/>
    <w:rsid w:val="004D4AA9"/>
    <w:rsid w:val="004D4E6B"/>
    <w:rsid w:val="004D559F"/>
    <w:rsid w:val="004D576A"/>
    <w:rsid w:val="004D63D8"/>
    <w:rsid w:val="004D65ED"/>
    <w:rsid w:val="004D6634"/>
    <w:rsid w:val="004D6777"/>
    <w:rsid w:val="004D7C6C"/>
    <w:rsid w:val="004E003E"/>
    <w:rsid w:val="004E092B"/>
    <w:rsid w:val="004E11E4"/>
    <w:rsid w:val="004E193B"/>
    <w:rsid w:val="004E1E28"/>
    <w:rsid w:val="004E20A0"/>
    <w:rsid w:val="004E3697"/>
    <w:rsid w:val="004E3E5C"/>
    <w:rsid w:val="004E3E60"/>
    <w:rsid w:val="004E4508"/>
    <w:rsid w:val="004E4E82"/>
    <w:rsid w:val="004E6251"/>
    <w:rsid w:val="004E62C4"/>
    <w:rsid w:val="004E674D"/>
    <w:rsid w:val="004E67EC"/>
    <w:rsid w:val="004F08A2"/>
    <w:rsid w:val="004F223F"/>
    <w:rsid w:val="004F2977"/>
    <w:rsid w:val="004F337B"/>
    <w:rsid w:val="004F3A6D"/>
    <w:rsid w:val="004F3FB5"/>
    <w:rsid w:val="004F44A2"/>
    <w:rsid w:val="004F53CA"/>
    <w:rsid w:val="004F6293"/>
    <w:rsid w:val="004F7E7F"/>
    <w:rsid w:val="004F7FBD"/>
    <w:rsid w:val="005003FC"/>
    <w:rsid w:val="00501734"/>
    <w:rsid w:val="00501DA4"/>
    <w:rsid w:val="005021CC"/>
    <w:rsid w:val="0050252E"/>
    <w:rsid w:val="00502A58"/>
    <w:rsid w:val="00502BC2"/>
    <w:rsid w:val="005034B8"/>
    <w:rsid w:val="00503766"/>
    <w:rsid w:val="00503DF3"/>
    <w:rsid w:val="005040A8"/>
    <w:rsid w:val="005049CD"/>
    <w:rsid w:val="00505ADD"/>
    <w:rsid w:val="005068D6"/>
    <w:rsid w:val="00506CF6"/>
    <w:rsid w:val="0051024F"/>
    <w:rsid w:val="005109FD"/>
    <w:rsid w:val="00511A3B"/>
    <w:rsid w:val="00511CF9"/>
    <w:rsid w:val="00511DC4"/>
    <w:rsid w:val="005121F7"/>
    <w:rsid w:val="005123FB"/>
    <w:rsid w:val="00512D07"/>
    <w:rsid w:val="00513580"/>
    <w:rsid w:val="00513B97"/>
    <w:rsid w:val="00513C15"/>
    <w:rsid w:val="00514C61"/>
    <w:rsid w:val="005151BC"/>
    <w:rsid w:val="00515523"/>
    <w:rsid w:val="005163CB"/>
    <w:rsid w:val="00516E37"/>
    <w:rsid w:val="005178A9"/>
    <w:rsid w:val="005201C3"/>
    <w:rsid w:val="0052083B"/>
    <w:rsid w:val="005209FA"/>
    <w:rsid w:val="00521955"/>
    <w:rsid w:val="00522C55"/>
    <w:rsid w:val="00524251"/>
    <w:rsid w:val="0052482A"/>
    <w:rsid w:val="00525201"/>
    <w:rsid w:val="00525374"/>
    <w:rsid w:val="005253CE"/>
    <w:rsid w:val="005257ED"/>
    <w:rsid w:val="00525CE5"/>
    <w:rsid w:val="00526C75"/>
    <w:rsid w:val="0053128A"/>
    <w:rsid w:val="00531769"/>
    <w:rsid w:val="00531B13"/>
    <w:rsid w:val="00532E54"/>
    <w:rsid w:val="00532E79"/>
    <w:rsid w:val="00534328"/>
    <w:rsid w:val="005348D9"/>
    <w:rsid w:val="00534D7B"/>
    <w:rsid w:val="005351AA"/>
    <w:rsid w:val="00536089"/>
    <w:rsid w:val="005368CC"/>
    <w:rsid w:val="00536D5D"/>
    <w:rsid w:val="005373E7"/>
    <w:rsid w:val="005373F8"/>
    <w:rsid w:val="00540577"/>
    <w:rsid w:val="00540640"/>
    <w:rsid w:val="00540699"/>
    <w:rsid w:val="00540BFF"/>
    <w:rsid w:val="00540CA3"/>
    <w:rsid w:val="0054206F"/>
    <w:rsid w:val="0054287E"/>
    <w:rsid w:val="00543C3F"/>
    <w:rsid w:val="00544924"/>
    <w:rsid w:val="00544D46"/>
    <w:rsid w:val="00544F8B"/>
    <w:rsid w:val="005455CC"/>
    <w:rsid w:val="00545A8D"/>
    <w:rsid w:val="00545DBA"/>
    <w:rsid w:val="005460AE"/>
    <w:rsid w:val="0054611E"/>
    <w:rsid w:val="0054767A"/>
    <w:rsid w:val="00547AA9"/>
    <w:rsid w:val="00547E53"/>
    <w:rsid w:val="0055054B"/>
    <w:rsid w:val="0055106A"/>
    <w:rsid w:val="00553302"/>
    <w:rsid w:val="00553359"/>
    <w:rsid w:val="0055377F"/>
    <w:rsid w:val="005544EE"/>
    <w:rsid w:val="00554504"/>
    <w:rsid w:val="005552EC"/>
    <w:rsid w:val="00555426"/>
    <w:rsid w:val="00555AC0"/>
    <w:rsid w:val="00555ACD"/>
    <w:rsid w:val="00555D5C"/>
    <w:rsid w:val="00555F14"/>
    <w:rsid w:val="00556AA6"/>
    <w:rsid w:val="00556DBD"/>
    <w:rsid w:val="00560173"/>
    <w:rsid w:val="00560F31"/>
    <w:rsid w:val="00561FC1"/>
    <w:rsid w:val="005620F6"/>
    <w:rsid w:val="005622BD"/>
    <w:rsid w:val="00562FA8"/>
    <w:rsid w:val="00563F57"/>
    <w:rsid w:val="00564461"/>
    <w:rsid w:val="005645A7"/>
    <w:rsid w:val="00565BB6"/>
    <w:rsid w:val="00566257"/>
    <w:rsid w:val="0056633E"/>
    <w:rsid w:val="0056669B"/>
    <w:rsid w:val="005669D4"/>
    <w:rsid w:val="0057128E"/>
    <w:rsid w:val="0057157B"/>
    <w:rsid w:val="0057185F"/>
    <w:rsid w:val="005719E7"/>
    <w:rsid w:val="00572221"/>
    <w:rsid w:val="00572A83"/>
    <w:rsid w:val="00572ACF"/>
    <w:rsid w:val="00572B4A"/>
    <w:rsid w:val="00572E2A"/>
    <w:rsid w:val="005732A8"/>
    <w:rsid w:val="00574F1D"/>
    <w:rsid w:val="005755F9"/>
    <w:rsid w:val="00575FBE"/>
    <w:rsid w:val="00576539"/>
    <w:rsid w:val="00576EF5"/>
    <w:rsid w:val="0057704D"/>
    <w:rsid w:val="00580C22"/>
    <w:rsid w:val="00581853"/>
    <w:rsid w:val="0058210A"/>
    <w:rsid w:val="00582B9D"/>
    <w:rsid w:val="005836AF"/>
    <w:rsid w:val="00584CCA"/>
    <w:rsid w:val="00585159"/>
    <w:rsid w:val="00585B02"/>
    <w:rsid w:val="00586906"/>
    <w:rsid w:val="00586C93"/>
    <w:rsid w:val="0058729A"/>
    <w:rsid w:val="00587A70"/>
    <w:rsid w:val="00590010"/>
    <w:rsid w:val="00590098"/>
    <w:rsid w:val="00590AC2"/>
    <w:rsid w:val="00591920"/>
    <w:rsid w:val="00591CFD"/>
    <w:rsid w:val="005925AD"/>
    <w:rsid w:val="005938E2"/>
    <w:rsid w:val="0059448F"/>
    <w:rsid w:val="005944A7"/>
    <w:rsid w:val="00594B25"/>
    <w:rsid w:val="00595A2A"/>
    <w:rsid w:val="00596B94"/>
    <w:rsid w:val="00597169"/>
    <w:rsid w:val="005A1155"/>
    <w:rsid w:val="005A272E"/>
    <w:rsid w:val="005A38A0"/>
    <w:rsid w:val="005A39A9"/>
    <w:rsid w:val="005A48F9"/>
    <w:rsid w:val="005A4A1D"/>
    <w:rsid w:val="005A5959"/>
    <w:rsid w:val="005A6430"/>
    <w:rsid w:val="005B2534"/>
    <w:rsid w:val="005B3A64"/>
    <w:rsid w:val="005B3EB4"/>
    <w:rsid w:val="005B47B0"/>
    <w:rsid w:val="005B4859"/>
    <w:rsid w:val="005B4EC9"/>
    <w:rsid w:val="005B5002"/>
    <w:rsid w:val="005B588A"/>
    <w:rsid w:val="005B5A4A"/>
    <w:rsid w:val="005B5E3E"/>
    <w:rsid w:val="005B5EB7"/>
    <w:rsid w:val="005B6B31"/>
    <w:rsid w:val="005B7A6A"/>
    <w:rsid w:val="005B7CFA"/>
    <w:rsid w:val="005C0090"/>
    <w:rsid w:val="005C025F"/>
    <w:rsid w:val="005C0631"/>
    <w:rsid w:val="005C084B"/>
    <w:rsid w:val="005C08F7"/>
    <w:rsid w:val="005C0AD3"/>
    <w:rsid w:val="005C21E3"/>
    <w:rsid w:val="005C2868"/>
    <w:rsid w:val="005C2BED"/>
    <w:rsid w:val="005C3706"/>
    <w:rsid w:val="005C4565"/>
    <w:rsid w:val="005C4CBD"/>
    <w:rsid w:val="005C4DE5"/>
    <w:rsid w:val="005C4F27"/>
    <w:rsid w:val="005C5770"/>
    <w:rsid w:val="005C662A"/>
    <w:rsid w:val="005C67CC"/>
    <w:rsid w:val="005D1585"/>
    <w:rsid w:val="005D200E"/>
    <w:rsid w:val="005D2C44"/>
    <w:rsid w:val="005D305F"/>
    <w:rsid w:val="005D30FB"/>
    <w:rsid w:val="005D4BAD"/>
    <w:rsid w:val="005D5B48"/>
    <w:rsid w:val="005D656D"/>
    <w:rsid w:val="005D667F"/>
    <w:rsid w:val="005D6EE5"/>
    <w:rsid w:val="005E01C1"/>
    <w:rsid w:val="005E027C"/>
    <w:rsid w:val="005E1CBA"/>
    <w:rsid w:val="005E21B5"/>
    <w:rsid w:val="005E365A"/>
    <w:rsid w:val="005E53A4"/>
    <w:rsid w:val="005E5407"/>
    <w:rsid w:val="005E607E"/>
    <w:rsid w:val="005E65E4"/>
    <w:rsid w:val="005E6B05"/>
    <w:rsid w:val="005E7016"/>
    <w:rsid w:val="005E71AE"/>
    <w:rsid w:val="005E7B0A"/>
    <w:rsid w:val="005E7E91"/>
    <w:rsid w:val="005F0C60"/>
    <w:rsid w:val="005F0E3C"/>
    <w:rsid w:val="005F21A6"/>
    <w:rsid w:val="005F2592"/>
    <w:rsid w:val="005F3A39"/>
    <w:rsid w:val="005F3E6B"/>
    <w:rsid w:val="005F3E6C"/>
    <w:rsid w:val="005F4C3A"/>
    <w:rsid w:val="005F698F"/>
    <w:rsid w:val="005F7D8B"/>
    <w:rsid w:val="005F7E8B"/>
    <w:rsid w:val="005F7F2D"/>
    <w:rsid w:val="00600907"/>
    <w:rsid w:val="006009B6"/>
    <w:rsid w:val="00601048"/>
    <w:rsid w:val="006026C3"/>
    <w:rsid w:val="00602AE0"/>
    <w:rsid w:val="00602F3A"/>
    <w:rsid w:val="00603251"/>
    <w:rsid w:val="00603EED"/>
    <w:rsid w:val="0060417A"/>
    <w:rsid w:val="00604465"/>
    <w:rsid w:val="006054A3"/>
    <w:rsid w:val="00605852"/>
    <w:rsid w:val="00606AFB"/>
    <w:rsid w:val="00606B0B"/>
    <w:rsid w:val="00606F18"/>
    <w:rsid w:val="00607D7E"/>
    <w:rsid w:val="0061075B"/>
    <w:rsid w:val="00610BB6"/>
    <w:rsid w:val="0061111A"/>
    <w:rsid w:val="006119F4"/>
    <w:rsid w:val="00611D7C"/>
    <w:rsid w:val="0061230B"/>
    <w:rsid w:val="00612939"/>
    <w:rsid w:val="00612B19"/>
    <w:rsid w:val="006132BF"/>
    <w:rsid w:val="0061381A"/>
    <w:rsid w:val="00613ECC"/>
    <w:rsid w:val="00614FD4"/>
    <w:rsid w:val="00617CAB"/>
    <w:rsid w:val="006207D0"/>
    <w:rsid w:val="00620F39"/>
    <w:rsid w:val="006215FF"/>
    <w:rsid w:val="00621957"/>
    <w:rsid w:val="00621FEA"/>
    <w:rsid w:val="0062225C"/>
    <w:rsid w:val="006226C5"/>
    <w:rsid w:val="0062307C"/>
    <w:rsid w:val="0062353A"/>
    <w:rsid w:val="0062381E"/>
    <w:rsid w:val="00623884"/>
    <w:rsid w:val="00624A73"/>
    <w:rsid w:val="0062555E"/>
    <w:rsid w:val="0062596E"/>
    <w:rsid w:val="00625B7F"/>
    <w:rsid w:val="006264C7"/>
    <w:rsid w:val="00626A7C"/>
    <w:rsid w:val="00626CE5"/>
    <w:rsid w:val="00626D40"/>
    <w:rsid w:val="0062701F"/>
    <w:rsid w:val="00627527"/>
    <w:rsid w:val="00627DC7"/>
    <w:rsid w:val="00630844"/>
    <w:rsid w:val="00633184"/>
    <w:rsid w:val="00633B9A"/>
    <w:rsid w:val="0063422B"/>
    <w:rsid w:val="00634544"/>
    <w:rsid w:val="00634829"/>
    <w:rsid w:val="00635C38"/>
    <w:rsid w:val="00636833"/>
    <w:rsid w:val="00637EF0"/>
    <w:rsid w:val="00637F81"/>
    <w:rsid w:val="00640667"/>
    <w:rsid w:val="00640CF8"/>
    <w:rsid w:val="00640E0D"/>
    <w:rsid w:val="00641181"/>
    <w:rsid w:val="00641D3B"/>
    <w:rsid w:val="006425DC"/>
    <w:rsid w:val="00642DFF"/>
    <w:rsid w:val="00642FED"/>
    <w:rsid w:val="00643E7B"/>
    <w:rsid w:val="006443CA"/>
    <w:rsid w:val="00644A22"/>
    <w:rsid w:val="00645148"/>
    <w:rsid w:val="00645AA9"/>
    <w:rsid w:val="00645EBB"/>
    <w:rsid w:val="00646CE8"/>
    <w:rsid w:val="00647680"/>
    <w:rsid w:val="0064795B"/>
    <w:rsid w:val="006500E4"/>
    <w:rsid w:val="006502EC"/>
    <w:rsid w:val="00651A49"/>
    <w:rsid w:val="00651FA6"/>
    <w:rsid w:val="00652522"/>
    <w:rsid w:val="00652F7D"/>
    <w:rsid w:val="00653C91"/>
    <w:rsid w:val="00653D9A"/>
    <w:rsid w:val="00654F97"/>
    <w:rsid w:val="00655A1D"/>
    <w:rsid w:val="0065710E"/>
    <w:rsid w:val="0066073A"/>
    <w:rsid w:val="00660AC6"/>
    <w:rsid w:val="00660B9E"/>
    <w:rsid w:val="006618EF"/>
    <w:rsid w:val="00661B95"/>
    <w:rsid w:val="00661FE1"/>
    <w:rsid w:val="00662248"/>
    <w:rsid w:val="0066224D"/>
    <w:rsid w:val="00662C47"/>
    <w:rsid w:val="00664531"/>
    <w:rsid w:val="006651E7"/>
    <w:rsid w:val="006652EC"/>
    <w:rsid w:val="00665626"/>
    <w:rsid w:val="00665A43"/>
    <w:rsid w:val="00666D3A"/>
    <w:rsid w:val="00667306"/>
    <w:rsid w:val="00670281"/>
    <w:rsid w:val="00672AC8"/>
    <w:rsid w:val="0067309E"/>
    <w:rsid w:val="006732AA"/>
    <w:rsid w:val="00673607"/>
    <w:rsid w:val="00673CC8"/>
    <w:rsid w:val="006744F4"/>
    <w:rsid w:val="00674DDB"/>
    <w:rsid w:val="0067616A"/>
    <w:rsid w:val="0067633C"/>
    <w:rsid w:val="0067691B"/>
    <w:rsid w:val="00676932"/>
    <w:rsid w:val="00676F0E"/>
    <w:rsid w:val="00677571"/>
    <w:rsid w:val="0068050F"/>
    <w:rsid w:val="00680EDC"/>
    <w:rsid w:val="00681038"/>
    <w:rsid w:val="0068190F"/>
    <w:rsid w:val="006819C0"/>
    <w:rsid w:val="006830C4"/>
    <w:rsid w:val="00683369"/>
    <w:rsid w:val="00683687"/>
    <w:rsid w:val="006838CD"/>
    <w:rsid w:val="00683F14"/>
    <w:rsid w:val="006845CB"/>
    <w:rsid w:val="006847BF"/>
    <w:rsid w:val="00684B38"/>
    <w:rsid w:val="00685289"/>
    <w:rsid w:val="0068565B"/>
    <w:rsid w:val="00686253"/>
    <w:rsid w:val="00686291"/>
    <w:rsid w:val="0068691E"/>
    <w:rsid w:val="006904EA"/>
    <w:rsid w:val="00690EF0"/>
    <w:rsid w:val="00691390"/>
    <w:rsid w:val="00691535"/>
    <w:rsid w:val="00691A2D"/>
    <w:rsid w:val="00691D3D"/>
    <w:rsid w:val="0069283D"/>
    <w:rsid w:val="00692F90"/>
    <w:rsid w:val="0069391E"/>
    <w:rsid w:val="00694919"/>
    <w:rsid w:val="006951CB"/>
    <w:rsid w:val="00695D23"/>
    <w:rsid w:val="006963D6"/>
    <w:rsid w:val="00697211"/>
    <w:rsid w:val="00697B2F"/>
    <w:rsid w:val="006A08A7"/>
    <w:rsid w:val="006A2204"/>
    <w:rsid w:val="006A2505"/>
    <w:rsid w:val="006A2FA1"/>
    <w:rsid w:val="006A3898"/>
    <w:rsid w:val="006A3FEF"/>
    <w:rsid w:val="006A4B59"/>
    <w:rsid w:val="006A4E2C"/>
    <w:rsid w:val="006A53EC"/>
    <w:rsid w:val="006A58F6"/>
    <w:rsid w:val="006A5B3C"/>
    <w:rsid w:val="006A65C5"/>
    <w:rsid w:val="006A77F1"/>
    <w:rsid w:val="006A7C5E"/>
    <w:rsid w:val="006B069D"/>
    <w:rsid w:val="006B0734"/>
    <w:rsid w:val="006B2693"/>
    <w:rsid w:val="006B3251"/>
    <w:rsid w:val="006B34C9"/>
    <w:rsid w:val="006B39A4"/>
    <w:rsid w:val="006B4C8A"/>
    <w:rsid w:val="006B5580"/>
    <w:rsid w:val="006B6103"/>
    <w:rsid w:val="006B672C"/>
    <w:rsid w:val="006B67AF"/>
    <w:rsid w:val="006B6914"/>
    <w:rsid w:val="006B6A00"/>
    <w:rsid w:val="006B6AFF"/>
    <w:rsid w:val="006B6E60"/>
    <w:rsid w:val="006C1146"/>
    <w:rsid w:val="006C129B"/>
    <w:rsid w:val="006C1DFC"/>
    <w:rsid w:val="006C1F2D"/>
    <w:rsid w:val="006C2035"/>
    <w:rsid w:val="006C2077"/>
    <w:rsid w:val="006C34F4"/>
    <w:rsid w:val="006C3859"/>
    <w:rsid w:val="006C3BAC"/>
    <w:rsid w:val="006C442A"/>
    <w:rsid w:val="006C4516"/>
    <w:rsid w:val="006C50A9"/>
    <w:rsid w:val="006C68D8"/>
    <w:rsid w:val="006C718D"/>
    <w:rsid w:val="006C72E9"/>
    <w:rsid w:val="006C768B"/>
    <w:rsid w:val="006C77E1"/>
    <w:rsid w:val="006C7DDC"/>
    <w:rsid w:val="006C7E21"/>
    <w:rsid w:val="006D0210"/>
    <w:rsid w:val="006D04A6"/>
    <w:rsid w:val="006D0A67"/>
    <w:rsid w:val="006D104B"/>
    <w:rsid w:val="006D1D9C"/>
    <w:rsid w:val="006D2A30"/>
    <w:rsid w:val="006D30A5"/>
    <w:rsid w:val="006D3B15"/>
    <w:rsid w:val="006D3BCF"/>
    <w:rsid w:val="006D3D48"/>
    <w:rsid w:val="006D4738"/>
    <w:rsid w:val="006D5216"/>
    <w:rsid w:val="006D5336"/>
    <w:rsid w:val="006D56DF"/>
    <w:rsid w:val="006D5ED5"/>
    <w:rsid w:val="006D6DD2"/>
    <w:rsid w:val="006D72D7"/>
    <w:rsid w:val="006D77C8"/>
    <w:rsid w:val="006D7E78"/>
    <w:rsid w:val="006E0644"/>
    <w:rsid w:val="006E0659"/>
    <w:rsid w:val="006E13FD"/>
    <w:rsid w:val="006E1A73"/>
    <w:rsid w:val="006E1BFB"/>
    <w:rsid w:val="006E236D"/>
    <w:rsid w:val="006E26D5"/>
    <w:rsid w:val="006E282E"/>
    <w:rsid w:val="006E2C7D"/>
    <w:rsid w:val="006E2CE8"/>
    <w:rsid w:val="006E2D65"/>
    <w:rsid w:val="006E3DFB"/>
    <w:rsid w:val="006E4D1E"/>
    <w:rsid w:val="006E4F19"/>
    <w:rsid w:val="006E5B2E"/>
    <w:rsid w:val="006E6B59"/>
    <w:rsid w:val="006E796B"/>
    <w:rsid w:val="006F023F"/>
    <w:rsid w:val="006F04D1"/>
    <w:rsid w:val="006F0856"/>
    <w:rsid w:val="006F1F7C"/>
    <w:rsid w:val="006F23DE"/>
    <w:rsid w:val="006F240B"/>
    <w:rsid w:val="006F33F3"/>
    <w:rsid w:val="006F39C4"/>
    <w:rsid w:val="006F3D74"/>
    <w:rsid w:val="006F41F7"/>
    <w:rsid w:val="006F436D"/>
    <w:rsid w:val="006F51F3"/>
    <w:rsid w:val="006F62B7"/>
    <w:rsid w:val="006F62D6"/>
    <w:rsid w:val="006F67EC"/>
    <w:rsid w:val="006F711B"/>
    <w:rsid w:val="006F71EE"/>
    <w:rsid w:val="007006F7"/>
    <w:rsid w:val="00700CA1"/>
    <w:rsid w:val="00701843"/>
    <w:rsid w:val="00702155"/>
    <w:rsid w:val="00702CC7"/>
    <w:rsid w:val="00702F24"/>
    <w:rsid w:val="00703C33"/>
    <w:rsid w:val="007041C4"/>
    <w:rsid w:val="007050F5"/>
    <w:rsid w:val="00705178"/>
    <w:rsid w:val="0070553B"/>
    <w:rsid w:val="007059B5"/>
    <w:rsid w:val="00705DD4"/>
    <w:rsid w:val="00706927"/>
    <w:rsid w:val="00706A1F"/>
    <w:rsid w:val="00706C51"/>
    <w:rsid w:val="00710226"/>
    <w:rsid w:val="00711041"/>
    <w:rsid w:val="00711604"/>
    <w:rsid w:val="00711C36"/>
    <w:rsid w:val="0071242B"/>
    <w:rsid w:val="00712FE0"/>
    <w:rsid w:val="00713043"/>
    <w:rsid w:val="00713C83"/>
    <w:rsid w:val="00714759"/>
    <w:rsid w:val="00714CD5"/>
    <w:rsid w:val="00715472"/>
    <w:rsid w:val="00715B27"/>
    <w:rsid w:val="007162B9"/>
    <w:rsid w:val="00717D8A"/>
    <w:rsid w:val="00720395"/>
    <w:rsid w:val="00720449"/>
    <w:rsid w:val="0072062F"/>
    <w:rsid w:val="00720B91"/>
    <w:rsid w:val="00720DDA"/>
    <w:rsid w:val="007214DB"/>
    <w:rsid w:val="00721539"/>
    <w:rsid w:val="00721C0D"/>
    <w:rsid w:val="00723131"/>
    <w:rsid w:val="00723249"/>
    <w:rsid w:val="00723436"/>
    <w:rsid w:val="007238E9"/>
    <w:rsid w:val="00723CC0"/>
    <w:rsid w:val="007240B8"/>
    <w:rsid w:val="00724DAC"/>
    <w:rsid w:val="00725785"/>
    <w:rsid w:val="00725FC9"/>
    <w:rsid w:val="00726CE8"/>
    <w:rsid w:val="00727533"/>
    <w:rsid w:val="007276D0"/>
    <w:rsid w:val="00730F0C"/>
    <w:rsid w:val="00732C8B"/>
    <w:rsid w:val="0073380B"/>
    <w:rsid w:val="007338BA"/>
    <w:rsid w:val="00733A1E"/>
    <w:rsid w:val="0073494E"/>
    <w:rsid w:val="00735443"/>
    <w:rsid w:val="007367E6"/>
    <w:rsid w:val="00737250"/>
    <w:rsid w:val="007401F7"/>
    <w:rsid w:val="00740E30"/>
    <w:rsid w:val="00740FA0"/>
    <w:rsid w:val="00741EFA"/>
    <w:rsid w:val="007421A3"/>
    <w:rsid w:val="00742346"/>
    <w:rsid w:val="007426DF"/>
    <w:rsid w:val="00742B91"/>
    <w:rsid w:val="00742F05"/>
    <w:rsid w:val="00742F25"/>
    <w:rsid w:val="007441CD"/>
    <w:rsid w:val="007449E1"/>
    <w:rsid w:val="00744A14"/>
    <w:rsid w:val="00744A72"/>
    <w:rsid w:val="00744B98"/>
    <w:rsid w:val="007458BA"/>
    <w:rsid w:val="00746538"/>
    <w:rsid w:val="007470ED"/>
    <w:rsid w:val="007478B4"/>
    <w:rsid w:val="00747F5D"/>
    <w:rsid w:val="0075119A"/>
    <w:rsid w:val="00751283"/>
    <w:rsid w:val="00752E98"/>
    <w:rsid w:val="00753630"/>
    <w:rsid w:val="00753F20"/>
    <w:rsid w:val="00754BBF"/>
    <w:rsid w:val="00755664"/>
    <w:rsid w:val="00755757"/>
    <w:rsid w:val="007572BC"/>
    <w:rsid w:val="00760A45"/>
    <w:rsid w:val="00763129"/>
    <w:rsid w:val="00763185"/>
    <w:rsid w:val="00763BBF"/>
    <w:rsid w:val="00763C2B"/>
    <w:rsid w:val="00764CE4"/>
    <w:rsid w:val="00764F97"/>
    <w:rsid w:val="00765C97"/>
    <w:rsid w:val="007662D8"/>
    <w:rsid w:val="00766653"/>
    <w:rsid w:val="00766CD4"/>
    <w:rsid w:val="00766EE4"/>
    <w:rsid w:val="00766EEA"/>
    <w:rsid w:val="00766FBB"/>
    <w:rsid w:val="007675A4"/>
    <w:rsid w:val="00767BE7"/>
    <w:rsid w:val="00773244"/>
    <w:rsid w:val="00773E2C"/>
    <w:rsid w:val="007744CB"/>
    <w:rsid w:val="007745B0"/>
    <w:rsid w:val="00774A28"/>
    <w:rsid w:val="00775203"/>
    <w:rsid w:val="007760B1"/>
    <w:rsid w:val="00776FD7"/>
    <w:rsid w:val="007777A2"/>
    <w:rsid w:val="00780A80"/>
    <w:rsid w:val="007823AF"/>
    <w:rsid w:val="00782978"/>
    <w:rsid w:val="00782C09"/>
    <w:rsid w:val="007839C7"/>
    <w:rsid w:val="00783DE2"/>
    <w:rsid w:val="00784403"/>
    <w:rsid w:val="007845F9"/>
    <w:rsid w:val="0078476D"/>
    <w:rsid w:val="00784D57"/>
    <w:rsid w:val="00784F4C"/>
    <w:rsid w:val="007856CA"/>
    <w:rsid w:val="007857D7"/>
    <w:rsid w:val="007857DC"/>
    <w:rsid w:val="00786842"/>
    <w:rsid w:val="00786C1D"/>
    <w:rsid w:val="00787322"/>
    <w:rsid w:val="00787D3E"/>
    <w:rsid w:val="00787F5C"/>
    <w:rsid w:val="00787F63"/>
    <w:rsid w:val="00790C56"/>
    <w:rsid w:val="00791BEA"/>
    <w:rsid w:val="00793F46"/>
    <w:rsid w:val="00794127"/>
    <w:rsid w:val="0079455A"/>
    <w:rsid w:val="00794916"/>
    <w:rsid w:val="00794C33"/>
    <w:rsid w:val="00795651"/>
    <w:rsid w:val="00796B2B"/>
    <w:rsid w:val="00797DF4"/>
    <w:rsid w:val="007A06B2"/>
    <w:rsid w:val="007A0CA6"/>
    <w:rsid w:val="007A296D"/>
    <w:rsid w:val="007A2C5A"/>
    <w:rsid w:val="007A6A70"/>
    <w:rsid w:val="007A6B77"/>
    <w:rsid w:val="007A7140"/>
    <w:rsid w:val="007A7980"/>
    <w:rsid w:val="007A7FA6"/>
    <w:rsid w:val="007B0B55"/>
    <w:rsid w:val="007B108B"/>
    <w:rsid w:val="007B1679"/>
    <w:rsid w:val="007B3057"/>
    <w:rsid w:val="007B3157"/>
    <w:rsid w:val="007B32E8"/>
    <w:rsid w:val="007B33E8"/>
    <w:rsid w:val="007B3947"/>
    <w:rsid w:val="007B3CC9"/>
    <w:rsid w:val="007B3D51"/>
    <w:rsid w:val="007B3D86"/>
    <w:rsid w:val="007B4DC5"/>
    <w:rsid w:val="007B4F68"/>
    <w:rsid w:val="007B568C"/>
    <w:rsid w:val="007B5AFC"/>
    <w:rsid w:val="007B6118"/>
    <w:rsid w:val="007B6956"/>
    <w:rsid w:val="007B7595"/>
    <w:rsid w:val="007B7AC1"/>
    <w:rsid w:val="007B7B68"/>
    <w:rsid w:val="007C0B64"/>
    <w:rsid w:val="007C0D42"/>
    <w:rsid w:val="007C1020"/>
    <w:rsid w:val="007C138B"/>
    <w:rsid w:val="007C26EB"/>
    <w:rsid w:val="007C48D2"/>
    <w:rsid w:val="007C4B49"/>
    <w:rsid w:val="007C524A"/>
    <w:rsid w:val="007C53B8"/>
    <w:rsid w:val="007C5520"/>
    <w:rsid w:val="007C65A7"/>
    <w:rsid w:val="007D0221"/>
    <w:rsid w:val="007D07A5"/>
    <w:rsid w:val="007D1070"/>
    <w:rsid w:val="007D13F3"/>
    <w:rsid w:val="007D227C"/>
    <w:rsid w:val="007D2EA5"/>
    <w:rsid w:val="007D300A"/>
    <w:rsid w:val="007D34C9"/>
    <w:rsid w:val="007D470E"/>
    <w:rsid w:val="007D57C1"/>
    <w:rsid w:val="007D6010"/>
    <w:rsid w:val="007D65AE"/>
    <w:rsid w:val="007D66EC"/>
    <w:rsid w:val="007D71D1"/>
    <w:rsid w:val="007E001E"/>
    <w:rsid w:val="007E0459"/>
    <w:rsid w:val="007E079B"/>
    <w:rsid w:val="007E0A7D"/>
    <w:rsid w:val="007E29E7"/>
    <w:rsid w:val="007E2C8C"/>
    <w:rsid w:val="007E306A"/>
    <w:rsid w:val="007E3CB0"/>
    <w:rsid w:val="007E4B20"/>
    <w:rsid w:val="007E592B"/>
    <w:rsid w:val="007E5CC4"/>
    <w:rsid w:val="007E6276"/>
    <w:rsid w:val="007E771F"/>
    <w:rsid w:val="007E7CA8"/>
    <w:rsid w:val="007E7E67"/>
    <w:rsid w:val="007F031D"/>
    <w:rsid w:val="007F05ED"/>
    <w:rsid w:val="007F05F1"/>
    <w:rsid w:val="007F0B24"/>
    <w:rsid w:val="007F3ACE"/>
    <w:rsid w:val="007F4954"/>
    <w:rsid w:val="007F4B25"/>
    <w:rsid w:val="007F527F"/>
    <w:rsid w:val="007F5318"/>
    <w:rsid w:val="007F5342"/>
    <w:rsid w:val="007F5A72"/>
    <w:rsid w:val="007F5F26"/>
    <w:rsid w:val="007F67ED"/>
    <w:rsid w:val="007F7AA4"/>
    <w:rsid w:val="00800050"/>
    <w:rsid w:val="00800406"/>
    <w:rsid w:val="008007A6"/>
    <w:rsid w:val="008007F6"/>
    <w:rsid w:val="00800F77"/>
    <w:rsid w:val="008025CD"/>
    <w:rsid w:val="00802BAB"/>
    <w:rsid w:val="00803473"/>
    <w:rsid w:val="00803C77"/>
    <w:rsid w:val="00804575"/>
    <w:rsid w:val="008049B1"/>
    <w:rsid w:val="008058BA"/>
    <w:rsid w:val="0080699A"/>
    <w:rsid w:val="008070E9"/>
    <w:rsid w:val="00807483"/>
    <w:rsid w:val="0081157F"/>
    <w:rsid w:val="00813A41"/>
    <w:rsid w:val="00813F8F"/>
    <w:rsid w:val="008141FE"/>
    <w:rsid w:val="008148FB"/>
    <w:rsid w:val="00814B2A"/>
    <w:rsid w:val="0081558C"/>
    <w:rsid w:val="00815859"/>
    <w:rsid w:val="00815955"/>
    <w:rsid w:val="00815B59"/>
    <w:rsid w:val="008165C5"/>
    <w:rsid w:val="00816AE3"/>
    <w:rsid w:val="008173C3"/>
    <w:rsid w:val="00817774"/>
    <w:rsid w:val="008203B6"/>
    <w:rsid w:val="0082151C"/>
    <w:rsid w:val="00823FF8"/>
    <w:rsid w:val="00824E29"/>
    <w:rsid w:val="008261E9"/>
    <w:rsid w:val="0082644C"/>
    <w:rsid w:val="00826E48"/>
    <w:rsid w:val="00827617"/>
    <w:rsid w:val="008276B0"/>
    <w:rsid w:val="00827897"/>
    <w:rsid w:val="008305A1"/>
    <w:rsid w:val="008307C1"/>
    <w:rsid w:val="00833F46"/>
    <w:rsid w:val="00834195"/>
    <w:rsid w:val="008349D4"/>
    <w:rsid w:val="00835F0F"/>
    <w:rsid w:val="00835FBF"/>
    <w:rsid w:val="0083692F"/>
    <w:rsid w:val="008379F0"/>
    <w:rsid w:val="00837D6F"/>
    <w:rsid w:val="008406E8"/>
    <w:rsid w:val="008419C5"/>
    <w:rsid w:val="00841E4C"/>
    <w:rsid w:val="00843100"/>
    <w:rsid w:val="00843119"/>
    <w:rsid w:val="0084319A"/>
    <w:rsid w:val="00844761"/>
    <w:rsid w:val="00844BF0"/>
    <w:rsid w:val="00845098"/>
    <w:rsid w:val="00845351"/>
    <w:rsid w:val="00846049"/>
    <w:rsid w:val="0085013F"/>
    <w:rsid w:val="008507ED"/>
    <w:rsid w:val="0085141A"/>
    <w:rsid w:val="0085178C"/>
    <w:rsid w:val="008517DB"/>
    <w:rsid w:val="008534CE"/>
    <w:rsid w:val="0085354E"/>
    <w:rsid w:val="008535CA"/>
    <w:rsid w:val="00854751"/>
    <w:rsid w:val="00854A4D"/>
    <w:rsid w:val="00854F11"/>
    <w:rsid w:val="00855067"/>
    <w:rsid w:val="00855322"/>
    <w:rsid w:val="00855E05"/>
    <w:rsid w:val="00857B39"/>
    <w:rsid w:val="008602E4"/>
    <w:rsid w:val="0086057D"/>
    <w:rsid w:val="008608A4"/>
    <w:rsid w:val="00860C7E"/>
    <w:rsid w:val="0086109C"/>
    <w:rsid w:val="00861C64"/>
    <w:rsid w:val="00862A46"/>
    <w:rsid w:val="00862EA7"/>
    <w:rsid w:val="00863346"/>
    <w:rsid w:val="008636B2"/>
    <w:rsid w:val="00864D19"/>
    <w:rsid w:val="00865144"/>
    <w:rsid w:val="0086531C"/>
    <w:rsid w:val="008653C9"/>
    <w:rsid w:val="008654EF"/>
    <w:rsid w:val="008664B4"/>
    <w:rsid w:val="00866D88"/>
    <w:rsid w:val="00867047"/>
    <w:rsid w:val="008722BA"/>
    <w:rsid w:val="00872CE9"/>
    <w:rsid w:val="00873ED5"/>
    <w:rsid w:val="008753F7"/>
    <w:rsid w:val="0087606E"/>
    <w:rsid w:val="00876372"/>
    <w:rsid w:val="0087716C"/>
    <w:rsid w:val="00877ED3"/>
    <w:rsid w:val="008801E0"/>
    <w:rsid w:val="00880DDB"/>
    <w:rsid w:val="008815D9"/>
    <w:rsid w:val="008820F6"/>
    <w:rsid w:val="00882893"/>
    <w:rsid w:val="00883070"/>
    <w:rsid w:val="008845CA"/>
    <w:rsid w:val="00884F6B"/>
    <w:rsid w:val="00885978"/>
    <w:rsid w:val="008865B0"/>
    <w:rsid w:val="008868EA"/>
    <w:rsid w:val="008871D2"/>
    <w:rsid w:val="008878D7"/>
    <w:rsid w:val="0089097F"/>
    <w:rsid w:val="0089154C"/>
    <w:rsid w:val="00891665"/>
    <w:rsid w:val="00891C51"/>
    <w:rsid w:val="00891D45"/>
    <w:rsid w:val="00891DD8"/>
    <w:rsid w:val="00891F9D"/>
    <w:rsid w:val="00893747"/>
    <w:rsid w:val="00893949"/>
    <w:rsid w:val="00894B22"/>
    <w:rsid w:val="0089558C"/>
    <w:rsid w:val="00895B31"/>
    <w:rsid w:val="008A026B"/>
    <w:rsid w:val="008A112C"/>
    <w:rsid w:val="008A1ECC"/>
    <w:rsid w:val="008A27CB"/>
    <w:rsid w:val="008A2B9E"/>
    <w:rsid w:val="008A2CAB"/>
    <w:rsid w:val="008A2F89"/>
    <w:rsid w:val="008A31C6"/>
    <w:rsid w:val="008A47B6"/>
    <w:rsid w:val="008A4F3F"/>
    <w:rsid w:val="008A535C"/>
    <w:rsid w:val="008A55DA"/>
    <w:rsid w:val="008A581D"/>
    <w:rsid w:val="008A59FC"/>
    <w:rsid w:val="008A7200"/>
    <w:rsid w:val="008A7387"/>
    <w:rsid w:val="008B0DE2"/>
    <w:rsid w:val="008B1289"/>
    <w:rsid w:val="008B1853"/>
    <w:rsid w:val="008B378C"/>
    <w:rsid w:val="008B45D7"/>
    <w:rsid w:val="008B796D"/>
    <w:rsid w:val="008C0A6C"/>
    <w:rsid w:val="008C1CFA"/>
    <w:rsid w:val="008C2164"/>
    <w:rsid w:val="008C3106"/>
    <w:rsid w:val="008C3D7E"/>
    <w:rsid w:val="008C489D"/>
    <w:rsid w:val="008C52EC"/>
    <w:rsid w:val="008C641F"/>
    <w:rsid w:val="008C696E"/>
    <w:rsid w:val="008C6DDC"/>
    <w:rsid w:val="008C771F"/>
    <w:rsid w:val="008C7ABE"/>
    <w:rsid w:val="008C7F0E"/>
    <w:rsid w:val="008D0BA5"/>
    <w:rsid w:val="008D2795"/>
    <w:rsid w:val="008D31CA"/>
    <w:rsid w:val="008D3F39"/>
    <w:rsid w:val="008D4B2D"/>
    <w:rsid w:val="008D50C3"/>
    <w:rsid w:val="008D5553"/>
    <w:rsid w:val="008D6765"/>
    <w:rsid w:val="008D6EE8"/>
    <w:rsid w:val="008D7024"/>
    <w:rsid w:val="008D73D8"/>
    <w:rsid w:val="008D7D27"/>
    <w:rsid w:val="008E004D"/>
    <w:rsid w:val="008E0152"/>
    <w:rsid w:val="008E02D0"/>
    <w:rsid w:val="008E0B1E"/>
    <w:rsid w:val="008E1647"/>
    <w:rsid w:val="008E2A25"/>
    <w:rsid w:val="008E31F0"/>
    <w:rsid w:val="008E3302"/>
    <w:rsid w:val="008E3402"/>
    <w:rsid w:val="008E3428"/>
    <w:rsid w:val="008E3561"/>
    <w:rsid w:val="008E3A0E"/>
    <w:rsid w:val="008E3FC0"/>
    <w:rsid w:val="008E5400"/>
    <w:rsid w:val="008E683F"/>
    <w:rsid w:val="008E6BC2"/>
    <w:rsid w:val="008E6D66"/>
    <w:rsid w:val="008E72BB"/>
    <w:rsid w:val="008E7319"/>
    <w:rsid w:val="008E7337"/>
    <w:rsid w:val="008E74E0"/>
    <w:rsid w:val="008E7938"/>
    <w:rsid w:val="008E79DC"/>
    <w:rsid w:val="008F06F9"/>
    <w:rsid w:val="008F14A8"/>
    <w:rsid w:val="008F1EBE"/>
    <w:rsid w:val="008F287F"/>
    <w:rsid w:val="008F324F"/>
    <w:rsid w:val="008F38DE"/>
    <w:rsid w:val="008F3B9C"/>
    <w:rsid w:val="008F5A49"/>
    <w:rsid w:val="008F65F5"/>
    <w:rsid w:val="008F6B32"/>
    <w:rsid w:val="008F6D62"/>
    <w:rsid w:val="008F71EB"/>
    <w:rsid w:val="008F73D0"/>
    <w:rsid w:val="008F7CAD"/>
    <w:rsid w:val="0090006F"/>
    <w:rsid w:val="00900264"/>
    <w:rsid w:val="00900CFE"/>
    <w:rsid w:val="00901308"/>
    <w:rsid w:val="00901AD0"/>
    <w:rsid w:val="00902AC7"/>
    <w:rsid w:val="00903167"/>
    <w:rsid w:val="009037EC"/>
    <w:rsid w:val="009049D4"/>
    <w:rsid w:val="00904D98"/>
    <w:rsid w:val="00905038"/>
    <w:rsid w:val="0090639C"/>
    <w:rsid w:val="0090670B"/>
    <w:rsid w:val="00906AE5"/>
    <w:rsid w:val="00906CCF"/>
    <w:rsid w:val="0090702B"/>
    <w:rsid w:val="009100B9"/>
    <w:rsid w:val="009102E8"/>
    <w:rsid w:val="00910DA2"/>
    <w:rsid w:val="0091101C"/>
    <w:rsid w:val="009111B5"/>
    <w:rsid w:val="009121B1"/>
    <w:rsid w:val="009139E5"/>
    <w:rsid w:val="0091463F"/>
    <w:rsid w:val="0091464A"/>
    <w:rsid w:val="009157EA"/>
    <w:rsid w:val="00915CA4"/>
    <w:rsid w:val="00916F03"/>
    <w:rsid w:val="009170BD"/>
    <w:rsid w:val="00917504"/>
    <w:rsid w:val="00917A02"/>
    <w:rsid w:val="00920157"/>
    <w:rsid w:val="00920F00"/>
    <w:rsid w:val="00921411"/>
    <w:rsid w:val="00921ADF"/>
    <w:rsid w:val="00921C3D"/>
    <w:rsid w:val="00922089"/>
    <w:rsid w:val="0092298B"/>
    <w:rsid w:val="00922B82"/>
    <w:rsid w:val="009237F3"/>
    <w:rsid w:val="00923E5A"/>
    <w:rsid w:val="009244A8"/>
    <w:rsid w:val="00924769"/>
    <w:rsid w:val="00925610"/>
    <w:rsid w:val="009258A6"/>
    <w:rsid w:val="009262A1"/>
    <w:rsid w:val="00926744"/>
    <w:rsid w:val="00927510"/>
    <w:rsid w:val="009304F1"/>
    <w:rsid w:val="00931019"/>
    <w:rsid w:val="00931655"/>
    <w:rsid w:val="00932334"/>
    <w:rsid w:val="00932A9F"/>
    <w:rsid w:val="009330CE"/>
    <w:rsid w:val="00933424"/>
    <w:rsid w:val="0093410C"/>
    <w:rsid w:val="009348C3"/>
    <w:rsid w:val="00934A9B"/>
    <w:rsid w:val="00934EA1"/>
    <w:rsid w:val="00934EF0"/>
    <w:rsid w:val="009369F4"/>
    <w:rsid w:val="00936E75"/>
    <w:rsid w:val="009371AB"/>
    <w:rsid w:val="0093765C"/>
    <w:rsid w:val="00937A7E"/>
    <w:rsid w:val="00937FA3"/>
    <w:rsid w:val="00940245"/>
    <w:rsid w:val="009408D7"/>
    <w:rsid w:val="0094217B"/>
    <w:rsid w:val="0094479C"/>
    <w:rsid w:val="009450F9"/>
    <w:rsid w:val="00946098"/>
    <w:rsid w:val="00947D67"/>
    <w:rsid w:val="009502C7"/>
    <w:rsid w:val="00950935"/>
    <w:rsid w:val="0095293C"/>
    <w:rsid w:val="00952BA4"/>
    <w:rsid w:val="00957DFC"/>
    <w:rsid w:val="00960230"/>
    <w:rsid w:val="00960A64"/>
    <w:rsid w:val="00960C9F"/>
    <w:rsid w:val="00961100"/>
    <w:rsid w:val="0096137F"/>
    <w:rsid w:val="00961912"/>
    <w:rsid w:val="00961B4D"/>
    <w:rsid w:val="009620FD"/>
    <w:rsid w:val="00964576"/>
    <w:rsid w:val="00964A5D"/>
    <w:rsid w:val="009656AB"/>
    <w:rsid w:val="00965F22"/>
    <w:rsid w:val="009662F8"/>
    <w:rsid w:val="00966819"/>
    <w:rsid w:val="00966A4E"/>
    <w:rsid w:val="0096731D"/>
    <w:rsid w:val="009674AE"/>
    <w:rsid w:val="009701B6"/>
    <w:rsid w:val="0097109B"/>
    <w:rsid w:val="00971427"/>
    <w:rsid w:val="009716DB"/>
    <w:rsid w:val="00971C8C"/>
    <w:rsid w:val="009721E6"/>
    <w:rsid w:val="009723B7"/>
    <w:rsid w:val="00972446"/>
    <w:rsid w:val="009730C5"/>
    <w:rsid w:val="0097364C"/>
    <w:rsid w:val="009742C4"/>
    <w:rsid w:val="00975175"/>
    <w:rsid w:val="00977BF5"/>
    <w:rsid w:val="00977DB0"/>
    <w:rsid w:val="00984292"/>
    <w:rsid w:val="009856D3"/>
    <w:rsid w:val="009857B1"/>
    <w:rsid w:val="00985836"/>
    <w:rsid w:val="00985D01"/>
    <w:rsid w:val="009875BE"/>
    <w:rsid w:val="009877AC"/>
    <w:rsid w:val="00987887"/>
    <w:rsid w:val="00991324"/>
    <w:rsid w:val="009914D6"/>
    <w:rsid w:val="00991AF4"/>
    <w:rsid w:val="009932C6"/>
    <w:rsid w:val="00993952"/>
    <w:rsid w:val="00994CFA"/>
    <w:rsid w:val="00994D8B"/>
    <w:rsid w:val="00995098"/>
    <w:rsid w:val="00997418"/>
    <w:rsid w:val="0099767C"/>
    <w:rsid w:val="00997AD8"/>
    <w:rsid w:val="00997EDB"/>
    <w:rsid w:val="009A092A"/>
    <w:rsid w:val="009A213A"/>
    <w:rsid w:val="009A401E"/>
    <w:rsid w:val="009A57A2"/>
    <w:rsid w:val="009A592C"/>
    <w:rsid w:val="009A63C9"/>
    <w:rsid w:val="009A659D"/>
    <w:rsid w:val="009A68C4"/>
    <w:rsid w:val="009A6CDB"/>
    <w:rsid w:val="009A75F0"/>
    <w:rsid w:val="009A7812"/>
    <w:rsid w:val="009A78C2"/>
    <w:rsid w:val="009B0263"/>
    <w:rsid w:val="009B02C7"/>
    <w:rsid w:val="009B0727"/>
    <w:rsid w:val="009B07F8"/>
    <w:rsid w:val="009B127D"/>
    <w:rsid w:val="009B147C"/>
    <w:rsid w:val="009B2CEB"/>
    <w:rsid w:val="009B3184"/>
    <w:rsid w:val="009B3DB8"/>
    <w:rsid w:val="009B586C"/>
    <w:rsid w:val="009B65DB"/>
    <w:rsid w:val="009B67EE"/>
    <w:rsid w:val="009B68ED"/>
    <w:rsid w:val="009B6D98"/>
    <w:rsid w:val="009B6FF2"/>
    <w:rsid w:val="009B720B"/>
    <w:rsid w:val="009B7902"/>
    <w:rsid w:val="009B79A7"/>
    <w:rsid w:val="009B7E86"/>
    <w:rsid w:val="009C013B"/>
    <w:rsid w:val="009C14AC"/>
    <w:rsid w:val="009C1866"/>
    <w:rsid w:val="009C1EB6"/>
    <w:rsid w:val="009C32FC"/>
    <w:rsid w:val="009C352E"/>
    <w:rsid w:val="009C3743"/>
    <w:rsid w:val="009C3AFA"/>
    <w:rsid w:val="009C45FA"/>
    <w:rsid w:val="009C483F"/>
    <w:rsid w:val="009C4F77"/>
    <w:rsid w:val="009C54E0"/>
    <w:rsid w:val="009C5567"/>
    <w:rsid w:val="009C66AD"/>
    <w:rsid w:val="009D004F"/>
    <w:rsid w:val="009D343F"/>
    <w:rsid w:val="009D4856"/>
    <w:rsid w:val="009D4CA6"/>
    <w:rsid w:val="009D4DC7"/>
    <w:rsid w:val="009D58FA"/>
    <w:rsid w:val="009D5D55"/>
    <w:rsid w:val="009D6516"/>
    <w:rsid w:val="009E03D6"/>
    <w:rsid w:val="009E12FD"/>
    <w:rsid w:val="009E2A63"/>
    <w:rsid w:val="009E313A"/>
    <w:rsid w:val="009E378B"/>
    <w:rsid w:val="009E386C"/>
    <w:rsid w:val="009E3C8F"/>
    <w:rsid w:val="009E4132"/>
    <w:rsid w:val="009E5197"/>
    <w:rsid w:val="009E5B6D"/>
    <w:rsid w:val="009E5E8C"/>
    <w:rsid w:val="009E6038"/>
    <w:rsid w:val="009E615B"/>
    <w:rsid w:val="009E653A"/>
    <w:rsid w:val="009E6CC7"/>
    <w:rsid w:val="009F0072"/>
    <w:rsid w:val="009F11EE"/>
    <w:rsid w:val="009F1321"/>
    <w:rsid w:val="009F22BB"/>
    <w:rsid w:val="009F25F0"/>
    <w:rsid w:val="009F3101"/>
    <w:rsid w:val="009F38F9"/>
    <w:rsid w:val="009F3F2F"/>
    <w:rsid w:val="009F3F9F"/>
    <w:rsid w:val="009F4673"/>
    <w:rsid w:val="009F46BC"/>
    <w:rsid w:val="009F4B5F"/>
    <w:rsid w:val="009F5225"/>
    <w:rsid w:val="009F63E9"/>
    <w:rsid w:val="009F654B"/>
    <w:rsid w:val="009F6C55"/>
    <w:rsid w:val="009F6EF4"/>
    <w:rsid w:val="009F753D"/>
    <w:rsid w:val="009F7C95"/>
    <w:rsid w:val="00A002B6"/>
    <w:rsid w:val="00A01DCB"/>
    <w:rsid w:val="00A04769"/>
    <w:rsid w:val="00A057F8"/>
    <w:rsid w:val="00A058E3"/>
    <w:rsid w:val="00A05B16"/>
    <w:rsid w:val="00A06BCE"/>
    <w:rsid w:val="00A06E33"/>
    <w:rsid w:val="00A06E94"/>
    <w:rsid w:val="00A10A85"/>
    <w:rsid w:val="00A10DE7"/>
    <w:rsid w:val="00A12520"/>
    <w:rsid w:val="00A127A3"/>
    <w:rsid w:val="00A12C81"/>
    <w:rsid w:val="00A14A44"/>
    <w:rsid w:val="00A156E9"/>
    <w:rsid w:val="00A158C0"/>
    <w:rsid w:val="00A16258"/>
    <w:rsid w:val="00A166AE"/>
    <w:rsid w:val="00A1672B"/>
    <w:rsid w:val="00A169B8"/>
    <w:rsid w:val="00A169FE"/>
    <w:rsid w:val="00A16A3C"/>
    <w:rsid w:val="00A17E39"/>
    <w:rsid w:val="00A20899"/>
    <w:rsid w:val="00A209C1"/>
    <w:rsid w:val="00A21B31"/>
    <w:rsid w:val="00A22514"/>
    <w:rsid w:val="00A22A7C"/>
    <w:rsid w:val="00A2379C"/>
    <w:rsid w:val="00A24241"/>
    <w:rsid w:val="00A243BB"/>
    <w:rsid w:val="00A246AE"/>
    <w:rsid w:val="00A24ECD"/>
    <w:rsid w:val="00A266A9"/>
    <w:rsid w:val="00A26C31"/>
    <w:rsid w:val="00A26CED"/>
    <w:rsid w:val="00A27030"/>
    <w:rsid w:val="00A27266"/>
    <w:rsid w:val="00A273DA"/>
    <w:rsid w:val="00A275FB"/>
    <w:rsid w:val="00A2797B"/>
    <w:rsid w:val="00A27A92"/>
    <w:rsid w:val="00A30433"/>
    <w:rsid w:val="00A3068E"/>
    <w:rsid w:val="00A31251"/>
    <w:rsid w:val="00A32026"/>
    <w:rsid w:val="00A330E6"/>
    <w:rsid w:val="00A333E0"/>
    <w:rsid w:val="00A35740"/>
    <w:rsid w:val="00A35C45"/>
    <w:rsid w:val="00A35EC4"/>
    <w:rsid w:val="00A35F9A"/>
    <w:rsid w:val="00A36947"/>
    <w:rsid w:val="00A3774B"/>
    <w:rsid w:val="00A4048D"/>
    <w:rsid w:val="00A41F21"/>
    <w:rsid w:val="00A421C7"/>
    <w:rsid w:val="00A4294A"/>
    <w:rsid w:val="00A42D03"/>
    <w:rsid w:val="00A42D05"/>
    <w:rsid w:val="00A42E38"/>
    <w:rsid w:val="00A4309F"/>
    <w:rsid w:val="00A44023"/>
    <w:rsid w:val="00A4430F"/>
    <w:rsid w:val="00A4445F"/>
    <w:rsid w:val="00A44E0B"/>
    <w:rsid w:val="00A465EF"/>
    <w:rsid w:val="00A46B0C"/>
    <w:rsid w:val="00A46FF1"/>
    <w:rsid w:val="00A474C3"/>
    <w:rsid w:val="00A50141"/>
    <w:rsid w:val="00A50284"/>
    <w:rsid w:val="00A50CCE"/>
    <w:rsid w:val="00A50E2D"/>
    <w:rsid w:val="00A51111"/>
    <w:rsid w:val="00A51264"/>
    <w:rsid w:val="00A518CE"/>
    <w:rsid w:val="00A526D6"/>
    <w:rsid w:val="00A52A6D"/>
    <w:rsid w:val="00A540C1"/>
    <w:rsid w:val="00A5429F"/>
    <w:rsid w:val="00A5481F"/>
    <w:rsid w:val="00A54FDE"/>
    <w:rsid w:val="00A55AFE"/>
    <w:rsid w:val="00A57636"/>
    <w:rsid w:val="00A57C7E"/>
    <w:rsid w:val="00A57EE8"/>
    <w:rsid w:val="00A600CF"/>
    <w:rsid w:val="00A6113D"/>
    <w:rsid w:val="00A617D8"/>
    <w:rsid w:val="00A62BDF"/>
    <w:rsid w:val="00A632E1"/>
    <w:rsid w:val="00A640F9"/>
    <w:rsid w:val="00A6416A"/>
    <w:rsid w:val="00A64A56"/>
    <w:rsid w:val="00A64C08"/>
    <w:rsid w:val="00A66879"/>
    <w:rsid w:val="00A66C8A"/>
    <w:rsid w:val="00A66F7B"/>
    <w:rsid w:val="00A67BB7"/>
    <w:rsid w:val="00A7123D"/>
    <w:rsid w:val="00A7163D"/>
    <w:rsid w:val="00A72478"/>
    <w:rsid w:val="00A725AE"/>
    <w:rsid w:val="00A726B7"/>
    <w:rsid w:val="00A7424E"/>
    <w:rsid w:val="00A74FE8"/>
    <w:rsid w:val="00A75D79"/>
    <w:rsid w:val="00A760EF"/>
    <w:rsid w:val="00A77F47"/>
    <w:rsid w:val="00A77FF4"/>
    <w:rsid w:val="00A80C0C"/>
    <w:rsid w:val="00A818A6"/>
    <w:rsid w:val="00A82520"/>
    <w:rsid w:val="00A8256C"/>
    <w:rsid w:val="00A83505"/>
    <w:rsid w:val="00A8363B"/>
    <w:rsid w:val="00A837D7"/>
    <w:rsid w:val="00A84C1D"/>
    <w:rsid w:val="00A85F94"/>
    <w:rsid w:val="00A8614B"/>
    <w:rsid w:val="00A86B94"/>
    <w:rsid w:val="00A86C7F"/>
    <w:rsid w:val="00A90ADF"/>
    <w:rsid w:val="00A9456F"/>
    <w:rsid w:val="00A945C7"/>
    <w:rsid w:val="00A952D1"/>
    <w:rsid w:val="00A95A1B"/>
    <w:rsid w:val="00A960D3"/>
    <w:rsid w:val="00A961E9"/>
    <w:rsid w:val="00A9656B"/>
    <w:rsid w:val="00A96F65"/>
    <w:rsid w:val="00A970D9"/>
    <w:rsid w:val="00A9758F"/>
    <w:rsid w:val="00AA12D6"/>
    <w:rsid w:val="00AA1E58"/>
    <w:rsid w:val="00AA2776"/>
    <w:rsid w:val="00AA29AD"/>
    <w:rsid w:val="00AA2F64"/>
    <w:rsid w:val="00AA35C1"/>
    <w:rsid w:val="00AA4B24"/>
    <w:rsid w:val="00AA5C12"/>
    <w:rsid w:val="00AA6A22"/>
    <w:rsid w:val="00AA77FF"/>
    <w:rsid w:val="00AB0D7C"/>
    <w:rsid w:val="00AB1847"/>
    <w:rsid w:val="00AB18DC"/>
    <w:rsid w:val="00AB2CDC"/>
    <w:rsid w:val="00AB3314"/>
    <w:rsid w:val="00AB3864"/>
    <w:rsid w:val="00AB3885"/>
    <w:rsid w:val="00AB43FC"/>
    <w:rsid w:val="00AB495C"/>
    <w:rsid w:val="00AB4BB1"/>
    <w:rsid w:val="00AB53B1"/>
    <w:rsid w:val="00AB5D79"/>
    <w:rsid w:val="00AB69D2"/>
    <w:rsid w:val="00AB7008"/>
    <w:rsid w:val="00AB7212"/>
    <w:rsid w:val="00AB7831"/>
    <w:rsid w:val="00AC1581"/>
    <w:rsid w:val="00AC1A59"/>
    <w:rsid w:val="00AC1C49"/>
    <w:rsid w:val="00AC32DF"/>
    <w:rsid w:val="00AC367E"/>
    <w:rsid w:val="00AC3C47"/>
    <w:rsid w:val="00AC3D2C"/>
    <w:rsid w:val="00AC3EDB"/>
    <w:rsid w:val="00AC4031"/>
    <w:rsid w:val="00AC4423"/>
    <w:rsid w:val="00AC47B2"/>
    <w:rsid w:val="00AC5FCA"/>
    <w:rsid w:val="00AC77C0"/>
    <w:rsid w:val="00AC7CA4"/>
    <w:rsid w:val="00AC7DA7"/>
    <w:rsid w:val="00AD017E"/>
    <w:rsid w:val="00AD0294"/>
    <w:rsid w:val="00AD069E"/>
    <w:rsid w:val="00AD1396"/>
    <w:rsid w:val="00AD1689"/>
    <w:rsid w:val="00AD18AE"/>
    <w:rsid w:val="00AD18D1"/>
    <w:rsid w:val="00AD1EF4"/>
    <w:rsid w:val="00AD35E9"/>
    <w:rsid w:val="00AD3D4E"/>
    <w:rsid w:val="00AD3FF0"/>
    <w:rsid w:val="00AD44A1"/>
    <w:rsid w:val="00AD45B7"/>
    <w:rsid w:val="00AD4CC6"/>
    <w:rsid w:val="00AD59A6"/>
    <w:rsid w:val="00AD5C31"/>
    <w:rsid w:val="00AD67F3"/>
    <w:rsid w:val="00AD6F78"/>
    <w:rsid w:val="00AD7773"/>
    <w:rsid w:val="00AD7FB9"/>
    <w:rsid w:val="00AD7FC3"/>
    <w:rsid w:val="00AE0E96"/>
    <w:rsid w:val="00AE1A9B"/>
    <w:rsid w:val="00AE3813"/>
    <w:rsid w:val="00AE3D1E"/>
    <w:rsid w:val="00AE4183"/>
    <w:rsid w:val="00AE48AE"/>
    <w:rsid w:val="00AE5C5C"/>
    <w:rsid w:val="00AE6498"/>
    <w:rsid w:val="00AE64E5"/>
    <w:rsid w:val="00AE735A"/>
    <w:rsid w:val="00AF0649"/>
    <w:rsid w:val="00AF0778"/>
    <w:rsid w:val="00AF0BEA"/>
    <w:rsid w:val="00AF0CDE"/>
    <w:rsid w:val="00AF11F7"/>
    <w:rsid w:val="00AF1A42"/>
    <w:rsid w:val="00AF2E07"/>
    <w:rsid w:val="00AF360A"/>
    <w:rsid w:val="00AF4617"/>
    <w:rsid w:val="00AF50F1"/>
    <w:rsid w:val="00AF5A50"/>
    <w:rsid w:val="00AF5EA6"/>
    <w:rsid w:val="00AF6474"/>
    <w:rsid w:val="00AF7730"/>
    <w:rsid w:val="00AF787A"/>
    <w:rsid w:val="00AF7B89"/>
    <w:rsid w:val="00B009A2"/>
    <w:rsid w:val="00B01BCA"/>
    <w:rsid w:val="00B02A11"/>
    <w:rsid w:val="00B03D90"/>
    <w:rsid w:val="00B05222"/>
    <w:rsid w:val="00B05937"/>
    <w:rsid w:val="00B05C1E"/>
    <w:rsid w:val="00B060F5"/>
    <w:rsid w:val="00B0725C"/>
    <w:rsid w:val="00B07805"/>
    <w:rsid w:val="00B10A5E"/>
    <w:rsid w:val="00B10CA7"/>
    <w:rsid w:val="00B11383"/>
    <w:rsid w:val="00B117C8"/>
    <w:rsid w:val="00B1211B"/>
    <w:rsid w:val="00B1363C"/>
    <w:rsid w:val="00B1436D"/>
    <w:rsid w:val="00B14BB4"/>
    <w:rsid w:val="00B14EA1"/>
    <w:rsid w:val="00B1519F"/>
    <w:rsid w:val="00B15667"/>
    <w:rsid w:val="00B15C50"/>
    <w:rsid w:val="00B16B11"/>
    <w:rsid w:val="00B16D9A"/>
    <w:rsid w:val="00B210C0"/>
    <w:rsid w:val="00B21257"/>
    <w:rsid w:val="00B214C9"/>
    <w:rsid w:val="00B21E98"/>
    <w:rsid w:val="00B227E0"/>
    <w:rsid w:val="00B23914"/>
    <w:rsid w:val="00B24BB7"/>
    <w:rsid w:val="00B24EDD"/>
    <w:rsid w:val="00B25097"/>
    <w:rsid w:val="00B260F7"/>
    <w:rsid w:val="00B2647D"/>
    <w:rsid w:val="00B26B4B"/>
    <w:rsid w:val="00B26B91"/>
    <w:rsid w:val="00B27372"/>
    <w:rsid w:val="00B27545"/>
    <w:rsid w:val="00B2757F"/>
    <w:rsid w:val="00B300F1"/>
    <w:rsid w:val="00B3084B"/>
    <w:rsid w:val="00B313FC"/>
    <w:rsid w:val="00B31EC8"/>
    <w:rsid w:val="00B31FCA"/>
    <w:rsid w:val="00B32116"/>
    <w:rsid w:val="00B323EE"/>
    <w:rsid w:val="00B325B0"/>
    <w:rsid w:val="00B32BCB"/>
    <w:rsid w:val="00B32C43"/>
    <w:rsid w:val="00B32C6C"/>
    <w:rsid w:val="00B337F4"/>
    <w:rsid w:val="00B349DC"/>
    <w:rsid w:val="00B34EB3"/>
    <w:rsid w:val="00B354C7"/>
    <w:rsid w:val="00B35A8D"/>
    <w:rsid w:val="00B35CF6"/>
    <w:rsid w:val="00B360A8"/>
    <w:rsid w:val="00B36DB3"/>
    <w:rsid w:val="00B372A5"/>
    <w:rsid w:val="00B4112E"/>
    <w:rsid w:val="00B42B32"/>
    <w:rsid w:val="00B44B80"/>
    <w:rsid w:val="00B453A0"/>
    <w:rsid w:val="00B45793"/>
    <w:rsid w:val="00B46148"/>
    <w:rsid w:val="00B4623E"/>
    <w:rsid w:val="00B47A25"/>
    <w:rsid w:val="00B5020C"/>
    <w:rsid w:val="00B50F15"/>
    <w:rsid w:val="00B50FCD"/>
    <w:rsid w:val="00B517DF"/>
    <w:rsid w:val="00B52FD5"/>
    <w:rsid w:val="00B54A0B"/>
    <w:rsid w:val="00B54DB8"/>
    <w:rsid w:val="00B56303"/>
    <w:rsid w:val="00B578D1"/>
    <w:rsid w:val="00B60A1C"/>
    <w:rsid w:val="00B61B66"/>
    <w:rsid w:val="00B62F16"/>
    <w:rsid w:val="00B62F4F"/>
    <w:rsid w:val="00B63564"/>
    <w:rsid w:val="00B651AF"/>
    <w:rsid w:val="00B65A16"/>
    <w:rsid w:val="00B66376"/>
    <w:rsid w:val="00B666A4"/>
    <w:rsid w:val="00B66AAA"/>
    <w:rsid w:val="00B66B23"/>
    <w:rsid w:val="00B66BF0"/>
    <w:rsid w:val="00B67D20"/>
    <w:rsid w:val="00B70709"/>
    <w:rsid w:val="00B70F73"/>
    <w:rsid w:val="00B720D2"/>
    <w:rsid w:val="00B72210"/>
    <w:rsid w:val="00B7262F"/>
    <w:rsid w:val="00B72889"/>
    <w:rsid w:val="00B72D60"/>
    <w:rsid w:val="00B72DF7"/>
    <w:rsid w:val="00B737A3"/>
    <w:rsid w:val="00B7385E"/>
    <w:rsid w:val="00B75A9D"/>
    <w:rsid w:val="00B763A7"/>
    <w:rsid w:val="00B76B82"/>
    <w:rsid w:val="00B76EC9"/>
    <w:rsid w:val="00B775D6"/>
    <w:rsid w:val="00B77FFE"/>
    <w:rsid w:val="00B807EF"/>
    <w:rsid w:val="00B80879"/>
    <w:rsid w:val="00B80F2F"/>
    <w:rsid w:val="00B811B5"/>
    <w:rsid w:val="00B816EB"/>
    <w:rsid w:val="00B81C32"/>
    <w:rsid w:val="00B81F36"/>
    <w:rsid w:val="00B838D9"/>
    <w:rsid w:val="00B86EDA"/>
    <w:rsid w:val="00B87642"/>
    <w:rsid w:val="00B90DDC"/>
    <w:rsid w:val="00B91DC4"/>
    <w:rsid w:val="00B925C9"/>
    <w:rsid w:val="00B93331"/>
    <w:rsid w:val="00B93F66"/>
    <w:rsid w:val="00B94324"/>
    <w:rsid w:val="00B950E3"/>
    <w:rsid w:val="00B95B75"/>
    <w:rsid w:val="00B969F8"/>
    <w:rsid w:val="00B97AA4"/>
    <w:rsid w:val="00BA00DC"/>
    <w:rsid w:val="00BA155B"/>
    <w:rsid w:val="00BA2066"/>
    <w:rsid w:val="00BA269E"/>
    <w:rsid w:val="00BA321E"/>
    <w:rsid w:val="00BA3B82"/>
    <w:rsid w:val="00BA452D"/>
    <w:rsid w:val="00BA5AE9"/>
    <w:rsid w:val="00BA6436"/>
    <w:rsid w:val="00BA6C3D"/>
    <w:rsid w:val="00BA6D94"/>
    <w:rsid w:val="00BA7105"/>
    <w:rsid w:val="00BB00DE"/>
    <w:rsid w:val="00BB020C"/>
    <w:rsid w:val="00BB0BFB"/>
    <w:rsid w:val="00BB3032"/>
    <w:rsid w:val="00BB30A0"/>
    <w:rsid w:val="00BB3658"/>
    <w:rsid w:val="00BB3DA3"/>
    <w:rsid w:val="00BB3DD8"/>
    <w:rsid w:val="00BB3ECC"/>
    <w:rsid w:val="00BB40D0"/>
    <w:rsid w:val="00BB4CAE"/>
    <w:rsid w:val="00BB4D3E"/>
    <w:rsid w:val="00BB4E37"/>
    <w:rsid w:val="00BB504C"/>
    <w:rsid w:val="00BB603C"/>
    <w:rsid w:val="00BB6264"/>
    <w:rsid w:val="00BB6A94"/>
    <w:rsid w:val="00BB6C26"/>
    <w:rsid w:val="00BC02E0"/>
    <w:rsid w:val="00BC06A0"/>
    <w:rsid w:val="00BC0E99"/>
    <w:rsid w:val="00BC16FA"/>
    <w:rsid w:val="00BC1DE1"/>
    <w:rsid w:val="00BC220C"/>
    <w:rsid w:val="00BC288A"/>
    <w:rsid w:val="00BC2B9F"/>
    <w:rsid w:val="00BC2CC6"/>
    <w:rsid w:val="00BC3544"/>
    <w:rsid w:val="00BC43E8"/>
    <w:rsid w:val="00BC518F"/>
    <w:rsid w:val="00BC52E1"/>
    <w:rsid w:val="00BC574B"/>
    <w:rsid w:val="00BC646B"/>
    <w:rsid w:val="00BC6C41"/>
    <w:rsid w:val="00BD03F7"/>
    <w:rsid w:val="00BD080B"/>
    <w:rsid w:val="00BD1AA6"/>
    <w:rsid w:val="00BD2094"/>
    <w:rsid w:val="00BD2300"/>
    <w:rsid w:val="00BD23B8"/>
    <w:rsid w:val="00BD23E2"/>
    <w:rsid w:val="00BD2C9D"/>
    <w:rsid w:val="00BD2E2E"/>
    <w:rsid w:val="00BD36FD"/>
    <w:rsid w:val="00BD3B4C"/>
    <w:rsid w:val="00BD3D8F"/>
    <w:rsid w:val="00BD43A4"/>
    <w:rsid w:val="00BD50DA"/>
    <w:rsid w:val="00BD58B9"/>
    <w:rsid w:val="00BD5D9D"/>
    <w:rsid w:val="00BD6C8C"/>
    <w:rsid w:val="00BD6D65"/>
    <w:rsid w:val="00BE1949"/>
    <w:rsid w:val="00BE1B79"/>
    <w:rsid w:val="00BE2181"/>
    <w:rsid w:val="00BE238B"/>
    <w:rsid w:val="00BE28CC"/>
    <w:rsid w:val="00BE3A9B"/>
    <w:rsid w:val="00BE3D3D"/>
    <w:rsid w:val="00BE3EC2"/>
    <w:rsid w:val="00BE40AA"/>
    <w:rsid w:val="00BE448C"/>
    <w:rsid w:val="00BE44EB"/>
    <w:rsid w:val="00BE4D47"/>
    <w:rsid w:val="00BE54D2"/>
    <w:rsid w:val="00BE56CA"/>
    <w:rsid w:val="00BE58B0"/>
    <w:rsid w:val="00BE7222"/>
    <w:rsid w:val="00BE7A15"/>
    <w:rsid w:val="00BF01F0"/>
    <w:rsid w:val="00BF0202"/>
    <w:rsid w:val="00BF1A71"/>
    <w:rsid w:val="00BF27B0"/>
    <w:rsid w:val="00BF2D72"/>
    <w:rsid w:val="00BF2E2E"/>
    <w:rsid w:val="00BF373E"/>
    <w:rsid w:val="00BF3AE7"/>
    <w:rsid w:val="00BF44AE"/>
    <w:rsid w:val="00BF4A6D"/>
    <w:rsid w:val="00BF4D73"/>
    <w:rsid w:val="00BF51E7"/>
    <w:rsid w:val="00BF6D83"/>
    <w:rsid w:val="00BF7929"/>
    <w:rsid w:val="00C00E97"/>
    <w:rsid w:val="00C019D2"/>
    <w:rsid w:val="00C01A15"/>
    <w:rsid w:val="00C01A22"/>
    <w:rsid w:val="00C01B48"/>
    <w:rsid w:val="00C01F7A"/>
    <w:rsid w:val="00C023C9"/>
    <w:rsid w:val="00C0255E"/>
    <w:rsid w:val="00C02705"/>
    <w:rsid w:val="00C0273C"/>
    <w:rsid w:val="00C04D2C"/>
    <w:rsid w:val="00C057CD"/>
    <w:rsid w:val="00C05A07"/>
    <w:rsid w:val="00C05B5B"/>
    <w:rsid w:val="00C06492"/>
    <w:rsid w:val="00C0663B"/>
    <w:rsid w:val="00C0673E"/>
    <w:rsid w:val="00C0737C"/>
    <w:rsid w:val="00C07DCB"/>
    <w:rsid w:val="00C1060A"/>
    <w:rsid w:val="00C10C17"/>
    <w:rsid w:val="00C10FC8"/>
    <w:rsid w:val="00C11A79"/>
    <w:rsid w:val="00C12FD5"/>
    <w:rsid w:val="00C12FF5"/>
    <w:rsid w:val="00C13098"/>
    <w:rsid w:val="00C131B3"/>
    <w:rsid w:val="00C13EAD"/>
    <w:rsid w:val="00C14639"/>
    <w:rsid w:val="00C15210"/>
    <w:rsid w:val="00C17098"/>
    <w:rsid w:val="00C20194"/>
    <w:rsid w:val="00C2034F"/>
    <w:rsid w:val="00C20790"/>
    <w:rsid w:val="00C21981"/>
    <w:rsid w:val="00C2204E"/>
    <w:rsid w:val="00C224D7"/>
    <w:rsid w:val="00C22D46"/>
    <w:rsid w:val="00C23442"/>
    <w:rsid w:val="00C2359B"/>
    <w:rsid w:val="00C2523F"/>
    <w:rsid w:val="00C2643D"/>
    <w:rsid w:val="00C26997"/>
    <w:rsid w:val="00C30AC6"/>
    <w:rsid w:val="00C30BE1"/>
    <w:rsid w:val="00C31416"/>
    <w:rsid w:val="00C314A3"/>
    <w:rsid w:val="00C3160C"/>
    <w:rsid w:val="00C31851"/>
    <w:rsid w:val="00C31D8A"/>
    <w:rsid w:val="00C32511"/>
    <w:rsid w:val="00C33048"/>
    <w:rsid w:val="00C3477F"/>
    <w:rsid w:val="00C34C57"/>
    <w:rsid w:val="00C3526C"/>
    <w:rsid w:val="00C35B14"/>
    <w:rsid w:val="00C377A3"/>
    <w:rsid w:val="00C37C6D"/>
    <w:rsid w:val="00C4023B"/>
    <w:rsid w:val="00C40539"/>
    <w:rsid w:val="00C405B6"/>
    <w:rsid w:val="00C407B0"/>
    <w:rsid w:val="00C409E5"/>
    <w:rsid w:val="00C40BFB"/>
    <w:rsid w:val="00C419E2"/>
    <w:rsid w:val="00C41EB0"/>
    <w:rsid w:val="00C42241"/>
    <w:rsid w:val="00C42AE2"/>
    <w:rsid w:val="00C4361F"/>
    <w:rsid w:val="00C43BC4"/>
    <w:rsid w:val="00C45286"/>
    <w:rsid w:val="00C453C0"/>
    <w:rsid w:val="00C4625C"/>
    <w:rsid w:val="00C464A6"/>
    <w:rsid w:val="00C46D27"/>
    <w:rsid w:val="00C471D2"/>
    <w:rsid w:val="00C478F6"/>
    <w:rsid w:val="00C50723"/>
    <w:rsid w:val="00C50CC2"/>
    <w:rsid w:val="00C547B9"/>
    <w:rsid w:val="00C54C3A"/>
    <w:rsid w:val="00C54F78"/>
    <w:rsid w:val="00C551C8"/>
    <w:rsid w:val="00C55A4D"/>
    <w:rsid w:val="00C55E17"/>
    <w:rsid w:val="00C564F7"/>
    <w:rsid w:val="00C612FC"/>
    <w:rsid w:val="00C62BB4"/>
    <w:rsid w:val="00C62E3B"/>
    <w:rsid w:val="00C633E5"/>
    <w:rsid w:val="00C64BFA"/>
    <w:rsid w:val="00C651D5"/>
    <w:rsid w:val="00C6598F"/>
    <w:rsid w:val="00C66655"/>
    <w:rsid w:val="00C6690E"/>
    <w:rsid w:val="00C66EA6"/>
    <w:rsid w:val="00C71BCB"/>
    <w:rsid w:val="00C723DC"/>
    <w:rsid w:val="00C72D9F"/>
    <w:rsid w:val="00C73922"/>
    <w:rsid w:val="00C743CC"/>
    <w:rsid w:val="00C74D1F"/>
    <w:rsid w:val="00C7501B"/>
    <w:rsid w:val="00C758A5"/>
    <w:rsid w:val="00C76052"/>
    <w:rsid w:val="00C762CE"/>
    <w:rsid w:val="00C76B16"/>
    <w:rsid w:val="00C77085"/>
    <w:rsid w:val="00C77409"/>
    <w:rsid w:val="00C8003C"/>
    <w:rsid w:val="00C80295"/>
    <w:rsid w:val="00C8196B"/>
    <w:rsid w:val="00C8300F"/>
    <w:rsid w:val="00C83669"/>
    <w:rsid w:val="00C84AA5"/>
    <w:rsid w:val="00C85F2D"/>
    <w:rsid w:val="00C86403"/>
    <w:rsid w:val="00C86C04"/>
    <w:rsid w:val="00C872B3"/>
    <w:rsid w:val="00C8743B"/>
    <w:rsid w:val="00C9048D"/>
    <w:rsid w:val="00C90ADF"/>
    <w:rsid w:val="00C90C32"/>
    <w:rsid w:val="00C9101D"/>
    <w:rsid w:val="00C93A9D"/>
    <w:rsid w:val="00C93EDC"/>
    <w:rsid w:val="00C94615"/>
    <w:rsid w:val="00C95491"/>
    <w:rsid w:val="00C9557D"/>
    <w:rsid w:val="00C95959"/>
    <w:rsid w:val="00C96B36"/>
    <w:rsid w:val="00C96BDF"/>
    <w:rsid w:val="00C97671"/>
    <w:rsid w:val="00CA0306"/>
    <w:rsid w:val="00CA0AC1"/>
    <w:rsid w:val="00CA1103"/>
    <w:rsid w:val="00CA3071"/>
    <w:rsid w:val="00CA370B"/>
    <w:rsid w:val="00CA4994"/>
    <w:rsid w:val="00CA4C79"/>
    <w:rsid w:val="00CA50E7"/>
    <w:rsid w:val="00CA54F6"/>
    <w:rsid w:val="00CA58B6"/>
    <w:rsid w:val="00CA5AAD"/>
    <w:rsid w:val="00CA6766"/>
    <w:rsid w:val="00CA6F80"/>
    <w:rsid w:val="00CA7116"/>
    <w:rsid w:val="00CA78D2"/>
    <w:rsid w:val="00CA7E30"/>
    <w:rsid w:val="00CB0BBC"/>
    <w:rsid w:val="00CB1323"/>
    <w:rsid w:val="00CB24F2"/>
    <w:rsid w:val="00CB273D"/>
    <w:rsid w:val="00CB2B7B"/>
    <w:rsid w:val="00CB2EBC"/>
    <w:rsid w:val="00CB415A"/>
    <w:rsid w:val="00CB49B4"/>
    <w:rsid w:val="00CB4B62"/>
    <w:rsid w:val="00CB5501"/>
    <w:rsid w:val="00CB58B0"/>
    <w:rsid w:val="00CB5986"/>
    <w:rsid w:val="00CB5988"/>
    <w:rsid w:val="00CB62E0"/>
    <w:rsid w:val="00CB63B8"/>
    <w:rsid w:val="00CB6F12"/>
    <w:rsid w:val="00CC00D3"/>
    <w:rsid w:val="00CC02AF"/>
    <w:rsid w:val="00CC0ED2"/>
    <w:rsid w:val="00CC1E53"/>
    <w:rsid w:val="00CC2472"/>
    <w:rsid w:val="00CC388D"/>
    <w:rsid w:val="00CC437E"/>
    <w:rsid w:val="00CC481E"/>
    <w:rsid w:val="00CC4E69"/>
    <w:rsid w:val="00CC5740"/>
    <w:rsid w:val="00CC636C"/>
    <w:rsid w:val="00CC7CCF"/>
    <w:rsid w:val="00CD0148"/>
    <w:rsid w:val="00CD0B41"/>
    <w:rsid w:val="00CD1CB0"/>
    <w:rsid w:val="00CD2482"/>
    <w:rsid w:val="00CD2B5F"/>
    <w:rsid w:val="00CD380F"/>
    <w:rsid w:val="00CD4103"/>
    <w:rsid w:val="00CD46C3"/>
    <w:rsid w:val="00CD4EA2"/>
    <w:rsid w:val="00CD5A75"/>
    <w:rsid w:val="00CD5EB6"/>
    <w:rsid w:val="00CD683E"/>
    <w:rsid w:val="00CD745C"/>
    <w:rsid w:val="00CD7C33"/>
    <w:rsid w:val="00CE123B"/>
    <w:rsid w:val="00CE1F62"/>
    <w:rsid w:val="00CE2141"/>
    <w:rsid w:val="00CE21BF"/>
    <w:rsid w:val="00CE2629"/>
    <w:rsid w:val="00CE3325"/>
    <w:rsid w:val="00CE361D"/>
    <w:rsid w:val="00CE444F"/>
    <w:rsid w:val="00CE5973"/>
    <w:rsid w:val="00CE6789"/>
    <w:rsid w:val="00CE67DD"/>
    <w:rsid w:val="00CE7354"/>
    <w:rsid w:val="00CF0E1D"/>
    <w:rsid w:val="00CF1390"/>
    <w:rsid w:val="00CF1842"/>
    <w:rsid w:val="00CF1CA0"/>
    <w:rsid w:val="00CF2F17"/>
    <w:rsid w:val="00CF3B61"/>
    <w:rsid w:val="00CF4334"/>
    <w:rsid w:val="00CF4CD3"/>
    <w:rsid w:val="00CF6182"/>
    <w:rsid w:val="00CF66C4"/>
    <w:rsid w:val="00CF66FD"/>
    <w:rsid w:val="00CF698F"/>
    <w:rsid w:val="00CF702E"/>
    <w:rsid w:val="00CF74BC"/>
    <w:rsid w:val="00CF7C0E"/>
    <w:rsid w:val="00CF7C32"/>
    <w:rsid w:val="00D0016E"/>
    <w:rsid w:val="00D003AF"/>
    <w:rsid w:val="00D005A3"/>
    <w:rsid w:val="00D006AA"/>
    <w:rsid w:val="00D00C60"/>
    <w:rsid w:val="00D01167"/>
    <w:rsid w:val="00D02A48"/>
    <w:rsid w:val="00D02BF9"/>
    <w:rsid w:val="00D03BB6"/>
    <w:rsid w:val="00D04376"/>
    <w:rsid w:val="00D04394"/>
    <w:rsid w:val="00D043D0"/>
    <w:rsid w:val="00D049C2"/>
    <w:rsid w:val="00D04CC9"/>
    <w:rsid w:val="00D05489"/>
    <w:rsid w:val="00D05AD4"/>
    <w:rsid w:val="00D0616D"/>
    <w:rsid w:val="00D06A1F"/>
    <w:rsid w:val="00D07A35"/>
    <w:rsid w:val="00D07B05"/>
    <w:rsid w:val="00D07C38"/>
    <w:rsid w:val="00D07F90"/>
    <w:rsid w:val="00D104A6"/>
    <w:rsid w:val="00D1051F"/>
    <w:rsid w:val="00D11C27"/>
    <w:rsid w:val="00D12C43"/>
    <w:rsid w:val="00D13A5F"/>
    <w:rsid w:val="00D13D4C"/>
    <w:rsid w:val="00D14B71"/>
    <w:rsid w:val="00D15661"/>
    <w:rsid w:val="00D1599B"/>
    <w:rsid w:val="00D1686E"/>
    <w:rsid w:val="00D168FA"/>
    <w:rsid w:val="00D1708F"/>
    <w:rsid w:val="00D17A8E"/>
    <w:rsid w:val="00D17EEF"/>
    <w:rsid w:val="00D2016A"/>
    <w:rsid w:val="00D20AD2"/>
    <w:rsid w:val="00D2103D"/>
    <w:rsid w:val="00D2191A"/>
    <w:rsid w:val="00D219AE"/>
    <w:rsid w:val="00D2228F"/>
    <w:rsid w:val="00D22FC5"/>
    <w:rsid w:val="00D249CE"/>
    <w:rsid w:val="00D2552A"/>
    <w:rsid w:val="00D265E2"/>
    <w:rsid w:val="00D27944"/>
    <w:rsid w:val="00D279FD"/>
    <w:rsid w:val="00D27B18"/>
    <w:rsid w:val="00D31370"/>
    <w:rsid w:val="00D31A24"/>
    <w:rsid w:val="00D31C1C"/>
    <w:rsid w:val="00D31CB2"/>
    <w:rsid w:val="00D31D5A"/>
    <w:rsid w:val="00D31F20"/>
    <w:rsid w:val="00D3265B"/>
    <w:rsid w:val="00D34216"/>
    <w:rsid w:val="00D34580"/>
    <w:rsid w:val="00D34A55"/>
    <w:rsid w:val="00D34EE7"/>
    <w:rsid w:val="00D374BE"/>
    <w:rsid w:val="00D3758D"/>
    <w:rsid w:val="00D37D17"/>
    <w:rsid w:val="00D41212"/>
    <w:rsid w:val="00D41301"/>
    <w:rsid w:val="00D43D45"/>
    <w:rsid w:val="00D44DBC"/>
    <w:rsid w:val="00D4660D"/>
    <w:rsid w:val="00D46638"/>
    <w:rsid w:val="00D474CE"/>
    <w:rsid w:val="00D47591"/>
    <w:rsid w:val="00D5030F"/>
    <w:rsid w:val="00D50CC0"/>
    <w:rsid w:val="00D50E87"/>
    <w:rsid w:val="00D51067"/>
    <w:rsid w:val="00D5120E"/>
    <w:rsid w:val="00D525DF"/>
    <w:rsid w:val="00D531D2"/>
    <w:rsid w:val="00D536B9"/>
    <w:rsid w:val="00D557D6"/>
    <w:rsid w:val="00D57B31"/>
    <w:rsid w:val="00D6007A"/>
    <w:rsid w:val="00D6065D"/>
    <w:rsid w:val="00D607DA"/>
    <w:rsid w:val="00D60C36"/>
    <w:rsid w:val="00D60D33"/>
    <w:rsid w:val="00D6121D"/>
    <w:rsid w:val="00D617E3"/>
    <w:rsid w:val="00D61D25"/>
    <w:rsid w:val="00D6203D"/>
    <w:rsid w:val="00D62583"/>
    <w:rsid w:val="00D635D3"/>
    <w:rsid w:val="00D637B9"/>
    <w:rsid w:val="00D63C58"/>
    <w:rsid w:val="00D63F60"/>
    <w:rsid w:val="00D64201"/>
    <w:rsid w:val="00D6504A"/>
    <w:rsid w:val="00D660E8"/>
    <w:rsid w:val="00D66166"/>
    <w:rsid w:val="00D6628F"/>
    <w:rsid w:val="00D66C47"/>
    <w:rsid w:val="00D70C45"/>
    <w:rsid w:val="00D70C9A"/>
    <w:rsid w:val="00D70D5A"/>
    <w:rsid w:val="00D71D8D"/>
    <w:rsid w:val="00D727CA"/>
    <w:rsid w:val="00D73EF7"/>
    <w:rsid w:val="00D743DF"/>
    <w:rsid w:val="00D7461B"/>
    <w:rsid w:val="00D75249"/>
    <w:rsid w:val="00D75809"/>
    <w:rsid w:val="00D75B7F"/>
    <w:rsid w:val="00D75B91"/>
    <w:rsid w:val="00D76518"/>
    <w:rsid w:val="00D77396"/>
    <w:rsid w:val="00D7745B"/>
    <w:rsid w:val="00D77607"/>
    <w:rsid w:val="00D77A87"/>
    <w:rsid w:val="00D8035E"/>
    <w:rsid w:val="00D806A4"/>
    <w:rsid w:val="00D80B76"/>
    <w:rsid w:val="00D81B46"/>
    <w:rsid w:val="00D82285"/>
    <w:rsid w:val="00D82713"/>
    <w:rsid w:val="00D8335B"/>
    <w:rsid w:val="00D836BF"/>
    <w:rsid w:val="00D84201"/>
    <w:rsid w:val="00D8446C"/>
    <w:rsid w:val="00D8459A"/>
    <w:rsid w:val="00D84E5D"/>
    <w:rsid w:val="00D854A9"/>
    <w:rsid w:val="00D85A0A"/>
    <w:rsid w:val="00D866B4"/>
    <w:rsid w:val="00D87453"/>
    <w:rsid w:val="00D875D4"/>
    <w:rsid w:val="00D904FF"/>
    <w:rsid w:val="00D90EFB"/>
    <w:rsid w:val="00D9156F"/>
    <w:rsid w:val="00D92B5D"/>
    <w:rsid w:val="00D9310E"/>
    <w:rsid w:val="00D932F8"/>
    <w:rsid w:val="00D93650"/>
    <w:rsid w:val="00D9462C"/>
    <w:rsid w:val="00D973A8"/>
    <w:rsid w:val="00DA0A56"/>
    <w:rsid w:val="00DA1076"/>
    <w:rsid w:val="00DA138A"/>
    <w:rsid w:val="00DA232F"/>
    <w:rsid w:val="00DA2DAE"/>
    <w:rsid w:val="00DA344F"/>
    <w:rsid w:val="00DA4116"/>
    <w:rsid w:val="00DA4555"/>
    <w:rsid w:val="00DA4576"/>
    <w:rsid w:val="00DA4E59"/>
    <w:rsid w:val="00DA502E"/>
    <w:rsid w:val="00DA5399"/>
    <w:rsid w:val="00DA5F8A"/>
    <w:rsid w:val="00DA68F5"/>
    <w:rsid w:val="00DA793A"/>
    <w:rsid w:val="00DB081E"/>
    <w:rsid w:val="00DB0CBA"/>
    <w:rsid w:val="00DB1035"/>
    <w:rsid w:val="00DB17C9"/>
    <w:rsid w:val="00DB1AC5"/>
    <w:rsid w:val="00DB23A4"/>
    <w:rsid w:val="00DB32EE"/>
    <w:rsid w:val="00DB3D4D"/>
    <w:rsid w:val="00DB4015"/>
    <w:rsid w:val="00DB4442"/>
    <w:rsid w:val="00DB479F"/>
    <w:rsid w:val="00DB4BB1"/>
    <w:rsid w:val="00DB4FE4"/>
    <w:rsid w:val="00DB5EF2"/>
    <w:rsid w:val="00DB751B"/>
    <w:rsid w:val="00DB7A9C"/>
    <w:rsid w:val="00DC00A8"/>
    <w:rsid w:val="00DC11AF"/>
    <w:rsid w:val="00DC11EC"/>
    <w:rsid w:val="00DC16A4"/>
    <w:rsid w:val="00DC2B4E"/>
    <w:rsid w:val="00DC2C36"/>
    <w:rsid w:val="00DC2D27"/>
    <w:rsid w:val="00DC2D99"/>
    <w:rsid w:val="00DC32A7"/>
    <w:rsid w:val="00DC5552"/>
    <w:rsid w:val="00DC71A7"/>
    <w:rsid w:val="00DC770E"/>
    <w:rsid w:val="00DC79DF"/>
    <w:rsid w:val="00DD01AD"/>
    <w:rsid w:val="00DD0305"/>
    <w:rsid w:val="00DD232E"/>
    <w:rsid w:val="00DD24F3"/>
    <w:rsid w:val="00DD3D05"/>
    <w:rsid w:val="00DD4139"/>
    <w:rsid w:val="00DD57C2"/>
    <w:rsid w:val="00DD6770"/>
    <w:rsid w:val="00DD7A67"/>
    <w:rsid w:val="00DD7DD9"/>
    <w:rsid w:val="00DE1497"/>
    <w:rsid w:val="00DE1F31"/>
    <w:rsid w:val="00DE2294"/>
    <w:rsid w:val="00DE26A9"/>
    <w:rsid w:val="00DE41CD"/>
    <w:rsid w:val="00DE430A"/>
    <w:rsid w:val="00DE4C11"/>
    <w:rsid w:val="00DE577F"/>
    <w:rsid w:val="00DE5983"/>
    <w:rsid w:val="00DE5EEF"/>
    <w:rsid w:val="00DE658F"/>
    <w:rsid w:val="00DE6BA5"/>
    <w:rsid w:val="00DE732F"/>
    <w:rsid w:val="00DE78A1"/>
    <w:rsid w:val="00DE7ED7"/>
    <w:rsid w:val="00DF07CB"/>
    <w:rsid w:val="00DF0879"/>
    <w:rsid w:val="00DF0980"/>
    <w:rsid w:val="00DF12FA"/>
    <w:rsid w:val="00DF31BC"/>
    <w:rsid w:val="00DF34E0"/>
    <w:rsid w:val="00DF39C2"/>
    <w:rsid w:val="00DF4732"/>
    <w:rsid w:val="00DF4A64"/>
    <w:rsid w:val="00DF4BBC"/>
    <w:rsid w:val="00DF5A3F"/>
    <w:rsid w:val="00DF6376"/>
    <w:rsid w:val="00DF6F06"/>
    <w:rsid w:val="00DF7EB1"/>
    <w:rsid w:val="00DF7EBA"/>
    <w:rsid w:val="00E00CDB"/>
    <w:rsid w:val="00E00FDF"/>
    <w:rsid w:val="00E01705"/>
    <w:rsid w:val="00E01E9A"/>
    <w:rsid w:val="00E020A7"/>
    <w:rsid w:val="00E0230C"/>
    <w:rsid w:val="00E029DB"/>
    <w:rsid w:val="00E02ACE"/>
    <w:rsid w:val="00E02AD4"/>
    <w:rsid w:val="00E030C9"/>
    <w:rsid w:val="00E0354B"/>
    <w:rsid w:val="00E035F0"/>
    <w:rsid w:val="00E0365A"/>
    <w:rsid w:val="00E03B6D"/>
    <w:rsid w:val="00E0422B"/>
    <w:rsid w:val="00E11593"/>
    <w:rsid w:val="00E11C3F"/>
    <w:rsid w:val="00E11FD7"/>
    <w:rsid w:val="00E127C4"/>
    <w:rsid w:val="00E12C2C"/>
    <w:rsid w:val="00E13300"/>
    <w:rsid w:val="00E13D48"/>
    <w:rsid w:val="00E1428D"/>
    <w:rsid w:val="00E1432E"/>
    <w:rsid w:val="00E150C4"/>
    <w:rsid w:val="00E15419"/>
    <w:rsid w:val="00E15537"/>
    <w:rsid w:val="00E15CFD"/>
    <w:rsid w:val="00E1787A"/>
    <w:rsid w:val="00E2104E"/>
    <w:rsid w:val="00E213C7"/>
    <w:rsid w:val="00E22CB0"/>
    <w:rsid w:val="00E238DB"/>
    <w:rsid w:val="00E240C3"/>
    <w:rsid w:val="00E2472F"/>
    <w:rsid w:val="00E253B3"/>
    <w:rsid w:val="00E25DA3"/>
    <w:rsid w:val="00E26F86"/>
    <w:rsid w:val="00E27058"/>
    <w:rsid w:val="00E3060A"/>
    <w:rsid w:val="00E30A82"/>
    <w:rsid w:val="00E30D84"/>
    <w:rsid w:val="00E30DD3"/>
    <w:rsid w:val="00E3126D"/>
    <w:rsid w:val="00E31836"/>
    <w:rsid w:val="00E319F6"/>
    <w:rsid w:val="00E32FA3"/>
    <w:rsid w:val="00E331FF"/>
    <w:rsid w:val="00E33A30"/>
    <w:rsid w:val="00E3401D"/>
    <w:rsid w:val="00E34C5E"/>
    <w:rsid w:val="00E34D63"/>
    <w:rsid w:val="00E35886"/>
    <w:rsid w:val="00E359E5"/>
    <w:rsid w:val="00E35A02"/>
    <w:rsid w:val="00E35B9D"/>
    <w:rsid w:val="00E3658F"/>
    <w:rsid w:val="00E365B8"/>
    <w:rsid w:val="00E365DD"/>
    <w:rsid w:val="00E37281"/>
    <w:rsid w:val="00E3798C"/>
    <w:rsid w:val="00E404C2"/>
    <w:rsid w:val="00E4073D"/>
    <w:rsid w:val="00E40CFA"/>
    <w:rsid w:val="00E40E11"/>
    <w:rsid w:val="00E40EF9"/>
    <w:rsid w:val="00E4121D"/>
    <w:rsid w:val="00E4182C"/>
    <w:rsid w:val="00E41D58"/>
    <w:rsid w:val="00E41E03"/>
    <w:rsid w:val="00E422CA"/>
    <w:rsid w:val="00E43C79"/>
    <w:rsid w:val="00E449AA"/>
    <w:rsid w:val="00E44CF3"/>
    <w:rsid w:val="00E44E27"/>
    <w:rsid w:val="00E450A3"/>
    <w:rsid w:val="00E45F49"/>
    <w:rsid w:val="00E47653"/>
    <w:rsid w:val="00E505EB"/>
    <w:rsid w:val="00E506ED"/>
    <w:rsid w:val="00E50ECA"/>
    <w:rsid w:val="00E50F10"/>
    <w:rsid w:val="00E513A7"/>
    <w:rsid w:val="00E5376D"/>
    <w:rsid w:val="00E53840"/>
    <w:rsid w:val="00E549CC"/>
    <w:rsid w:val="00E54CE1"/>
    <w:rsid w:val="00E556E0"/>
    <w:rsid w:val="00E5604C"/>
    <w:rsid w:val="00E569FB"/>
    <w:rsid w:val="00E56E78"/>
    <w:rsid w:val="00E60072"/>
    <w:rsid w:val="00E6075A"/>
    <w:rsid w:val="00E60AF4"/>
    <w:rsid w:val="00E6110E"/>
    <w:rsid w:val="00E6184E"/>
    <w:rsid w:val="00E61B37"/>
    <w:rsid w:val="00E61CE2"/>
    <w:rsid w:val="00E62675"/>
    <w:rsid w:val="00E626FF"/>
    <w:rsid w:val="00E6284F"/>
    <w:rsid w:val="00E62875"/>
    <w:rsid w:val="00E62A94"/>
    <w:rsid w:val="00E632AB"/>
    <w:rsid w:val="00E6420B"/>
    <w:rsid w:val="00E672FC"/>
    <w:rsid w:val="00E67612"/>
    <w:rsid w:val="00E676C0"/>
    <w:rsid w:val="00E67E3E"/>
    <w:rsid w:val="00E71201"/>
    <w:rsid w:val="00E71255"/>
    <w:rsid w:val="00E71AB3"/>
    <w:rsid w:val="00E71F66"/>
    <w:rsid w:val="00E72179"/>
    <w:rsid w:val="00E72C7F"/>
    <w:rsid w:val="00E73517"/>
    <w:rsid w:val="00E73781"/>
    <w:rsid w:val="00E73877"/>
    <w:rsid w:val="00E73A31"/>
    <w:rsid w:val="00E74794"/>
    <w:rsid w:val="00E7543D"/>
    <w:rsid w:val="00E75A4E"/>
    <w:rsid w:val="00E75AAC"/>
    <w:rsid w:val="00E76539"/>
    <w:rsid w:val="00E769D6"/>
    <w:rsid w:val="00E76F9C"/>
    <w:rsid w:val="00E77116"/>
    <w:rsid w:val="00E77400"/>
    <w:rsid w:val="00E77F77"/>
    <w:rsid w:val="00E8009F"/>
    <w:rsid w:val="00E80F72"/>
    <w:rsid w:val="00E811E4"/>
    <w:rsid w:val="00E82CF5"/>
    <w:rsid w:val="00E847AF"/>
    <w:rsid w:val="00E84E65"/>
    <w:rsid w:val="00E866B2"/>
    <w:rsid w:val="00E8680D"/>
    <w:rsid w:val="00E8717A"/>
    <w:rsid w:val="00E901A6"/>
    <w:rsid w:val="00E9023F"/>
    <w:rsid w:val="00E90269"/>
    <w:rsid w:val="00E90D7A"/>
    <w:rsid w:val="00E9134B"/>
    <w:rsid w:val="00E9182E"/>
    <w:rsid w:val="00E9212F"/>
    <w:rsid w:val="00E922D1"/>
    <w:rsid w:val="00E92E66"/>
    <w:rsid w:val="00E941F8"/>
    <w:rsid w:val="00E94719"/>
    <w:rsid w:val="00E94C46"/>
    <w:rsid w:val="00E95103"/>
    <w:rsid w:val="00E95755"/>
    <w:rsid w:val="00E95BD5"/>
    <w:rsid w:val="00E95BFF"/>
    <w:rsid w:val="00E96FDB"/>
    <w:rsid w:val="00EA00A5"/>
    <w:rsid w:val="00EA0552"/>
    <w:rsid w:val="00EA0D6D"/>
    <w:rsid w:val="00EA0D7E"/>
    <w:rsid w:val="00EA131F"/>
    <w:rsid w:val="00EA196B"/>
    <w:rsid w:val="00EA1BEF"/>
    <w:rsid w:val="00EA2E83"/>
    <w:rsid w:val="00EA332F"/>
    <w:rsid w:val="00EA33A3"/>
    <w:rsid w:val="00EA396C"/>
    <w:rsid w:val="00EA4020"/>
    <w:rsid w:val="00EA436B"/>
    <w:rsid w:val="00EA5018"/>
    <w:rsid w:val="00EA5473"/>
    <w:rsid w:val="00EA5482"/>
    <w:rsid w:val="00EA557E"/>
    <w:rsid w:val="00EA714F"/>
    <w:rsid w:val="00EA769A"/>
    <w:rsid w:val="00EA7F98"/>
    <w:rsid w:val="00EB0144"/>
    <w:rsid w:val="00EB1098"/>
    <w:rsid w:val="00EB12EF"/>
    <w:rsid w:val="00EB2636"/>
    <w:rsid w:val="00EB2AA9"/>
    <w:rsid w:val="00EB3E28"/>
    <w:rsid w:val="00EB3EB3"/>
    <w:rsid w:val="00EB4DF3"/>
    <w:rsid w:val="00EB5F4C"/>
    <w:rsid w:val="00EB7077"/>
    <w:rsid w:val="00EB707C"/>
    <w:rsid w:val="00EC0193"/>
    <w:rsid w:val="00EC0383"/>
    <w:rsid w:val="00EC054A"/>
    <w:rsid w:val="00EC075C"/>
    <w:rsid w:val="00EC0ADA"/>
    <w:rsid w:val="00EC1834"/>
    <w:rsid w:val="00EC1861"/>
    <w:rsid w:val="00EC19B6"/>
    <w:rsid w:val="00EC215A"/>
    <w:rsid w:val="00EC2507"/>
    <w:rsid w:val="00EC2D77"/>
    <w:rsid w:val="00EC2E9B"/>
    <w:rsid w:val="00EC3215"/>
    <w:rsid w:val="00EC3760"/>
    <w:rsid w:val="00EC3BA4"/>
    <w:rsid w:val="00EC4079"/>
    <w:rsid w:val="00EC47D0"/>
    <w:rsid w:val="00EC525E"/>
    <w:rsid w:val="00EC5593"/>
    <w:rsid w:val="00EC5822"/>
    <w:rsid w:val="00EC5ADC"/>
    <w:rsid w:val="00EC6078"/>
    <w:rsid w:val="00EC640F"/>
    <w:rsid w:val="00EC64BF"/>
    <w:rsid w:val="00EC76D8"/>
    <w:rsid w:val="00EC7BBB"/>
    <w:rsid w:val="00ED17B0"/>
    <w:rsid w:val="00ED2DCB"/>
    <w:rsid w:val="00ED2ECE"/>
    <w:rsid w:val="00ED34AB"/>
    <w:rsid w:val="00ED411F"/>
    <w:rsid w:val="00ED4F63"/>
    <w:rsid w:val="00ED5847"/>
    <w:rsid w:val="00ED67F6"/>
    <w:rsid w:val="00ED6F52"/>
    <w:rsid w:val="00ED7ADD"/>
    <w:rsid w:val="00ED7CD3"/>
    <w:rsid w:val="00EE11F7"/>
    <w:rsid w:val="00EE1763"/>
    <w:rsid w:val="00EE17EE"/>
    <w:rsid w:val="00EE19B7"/>
    <w:rsid w:val="00EE2E4A"/>
    <w:rsid w:val="00EE2FC8"/>
    <w:rsid w:val="00EE3A30"/>
    <w:rsid w:val="00EE4D2A"/>
    <w:rsid w:val="00EE5343"/>
    <w:rsid w:val="00EE5A87"/>
    <w:rsid w:val="00EE6056"/>
    <w:rsid w:val="00EE636F"/>
    <w:rsid w:val="00EE7806"/>
    <w:rsid w:val="00EE7D5B"/>
    <w:rsid w:val="00EF0398"/>
    <w:rsid w:val="00EF14F5"/>
    <w:rsid w:val="00EF1E64"/>
    <w:rsid w:val="00EF2309"/>
    <w:rsid w:val="00EF25F8"/>
    <w:rsid w:val="00EF32A8"/>
    <w:rsid w:val="00EF426D"/>
    <w:rsid w:val="00EF4E71"/>
    <w:rsid w:val="00EF4FF2"/>
    <w:rsid w:val="00EF541B"/>
    <w:rsid w:val="00EF5B2F"/>
    <w:rsid w:val="00EF5B4D"/>
    <w:rsid w:val="00EF5E97"/>
    <w:rsid w:val="00EF635F"/>
    <w:rsid w:val="00EF692E"/>
    <w:rsid w:val="00EF69A6"/>
    <w:rsid w:val="00EF7FCC"/>
    <w:rsid w:val="00F00478"/>
    <w:rsid w:val="00F00588"/>
    <w:rsid w:val="00F00956"/>
    <w:rsid w:val="00F01152"/>
    <w:rsid w:val="00F020F1"/>
    <w:rsid w:val="00F023B2"/>
    <w:rsid w:val="00F02404"/>
    <w:rsid w:val="00F02745"/>
    <w:rsid w:val="00F02DEB"/>
    <w:rsid w:val="00F03985"/>
    <w:rsid w:val="00F039B2"/>
    <w:rsid w:val="00F03E88"/>
    <w:rsid w:val="00F04380"/>
    <w:rsid w:val="00F04958"/>
    <w:rsid w:val="00F04D98"/>
    <w:rsid w:val="00F06CB0"/>
    <w:rsid w:val="00F072E9"/>
    <w:rsid w:val="00F07436"/>
    <w:rsid w:val="00F07D78"/>
    <w:rsid w:val="00F105E8"/>
    <w:rsid w:val="00F10FB6"/>
    <w:rsid w:val="00F11729"/>
    <w:rsid w:val="00F11A05"/>
    <w:rsid w:val="00F11B8D"/>
    <w:rsid w:val="00F11D51"/>
    <w:rsid w:val="00F126EC"/>
    <w:rsid w:val="00F1276F"/>
    <w:rsid w:val="00F12D8D"/>
    <w:rsid w:val="00F13202"/>
    <w:rsid w:val="00F13B23"/>
    <w:rsid w:val="00F13E65"/>
    <w:rsid w:val="00F145C3"/>
    <w:rsid w:val="00F14780"/>
    <w:rsid w:val="00F15608"/>
    <w:rsid w:val="00F168F4"/>
    <w:rsid w:val="00F16942"/>
    <w:rsid w:val="00F20900"/>
    <w:rsid w:val="00F2207A"/>
    <w:rsid w:val="00F22386"/>
    <w:rsid w:val="00F223BA"/>
    <w:rsid w:val="00F22E64"/>
    <w:rsid w:val="00F24638"/>
    <w:rsid w:val="00F25B30"/>
    <w:rsid w:val="00F25E83"/>
    <w:rsid w:val="00F270D0"/>
    <w:rsid w:val="00F3099F"/>
    <w:rsid w:val="00F30E50"/>
    <w:rsid w:val="00F30EED"/>
    <w:rsid w:val="00F30FD0"/>
    <w:rsid w:val="00F316BE"/>
    <w:rsid w:val="00F3296C"/>
    <w:rsid w:val="00F3306D"/>
    <w:rsid w:val="00F3352B"/>
    <w:rsid w:val="00F33C7A"/>
    <w:rsid w:val="00F341E0"/>
    <w:rsid w:val="00F3438A"/>
    <w:rsid w:val="00F34AF9"/>
    <w:rsid w:val="00F34E09"/>
    <w:rsid w:val="00F350F5"/>
    <w:rsid w:val="00F36D70"/>
    <w:rsid w:val="00F3726D"/>
    <w:rsid w:val="00F374E8"/>
    <w:rsid w:val="00F37818"/>
    <w:rsid w:val="00F405B6"/>
    <w:rsid w:val="00F40696"/>
    <w:rsid w:val="00F40A42"/>
    <w:rsid w:val="00F40B69"/>
    <w:rsid w:val="00F40EAC"/>
    <w:rsid w:val="00F41A55"/>
    <w:rsid w:val="00F421B9"/>
    <w:rsid w:val="00F430DE"/>
    <w:rsid w:val="00F4379D"/>
    <w:rsid w:val="00F4481C"/>
    <w:rsid w:val="00F44BC9"/>
    <w:rsid w:val="00F45F05"/>
    <w:rsid w:val="00F464BB"/>
    <w:rsid w:val="00F46B3E"/>
    <w:rsid w:val="00F47188"/>
    <w:rsid w:val="00F47DDD"/>
    <w:rsid w:val="00F50105"/>
    <w:rsid w:val="00F5273B"/>
    <w:rsid w:val="00F52BB2"/>
    <w:rsid w:val="00F52EE6"/>
    <w:rsid w:val="00F5334B"/>
    <w:rsid w:val="00F5339F"/>
    <w:rsid w:val="00F5499C"/>
    <w:rsid w:val="00F566F8"/>
    <w:rsid w:val="00F57968"/>
    <w:rsid w:val="00F57F89"/>
    <w:rsid w:val="00F60032"/>
    <w:rsid w:val="00F601D1"/>
    <w:rsid w:val="00F6093F"/>
    <w:rsid w:val="00F61281"/>
    <w:rsid w:val="00F6287D"/>
    <w:rsid w:val="00F63D63"/>
    <w:rsid w:val="00F63FF7"/>
    <w:rsid w:val="00F648F0"/>
    <w:rsid w:val="00F6499A"/>
    <w:rsid w:val="00F66814"/>
    <w:rsid w:val="00F67105"/>
    <w:rsid w:val="00F70BE7"/>
    <w:rsid w:val="00F70CFE"/>
    <w:rsid w:val="00F7139B"/>
    <w:rsid w:val="00F7157F"/>
    <w:rsid w:val="00F7382E"/>
    <w:rsid w:val="00F75037"/>
    <w:rsid w:val="00F77972"/>
    <w:rsid w:val="00F77D9F"/>
    <w:rsid w:val="00F77EDB"/>
    <w:rsid w:val="00F812A9"/>
    <w:rsid w:val="00F82317"/>
    <w:rsid w:val="00F82758"/>
    <w:rsid w:val="00F831A4"/>
    <w:rsid w:val="00F83643"/>
    <w:rsid w:val="00F83791"/>
    <w:rsid w:val="00F838E6"/>
    <w:rsid w:val="00F83EC7"/>
    <w:rsid w:val="00F8457D"/>
    <w:rsid w:val="00F84FDD"/>
    <w:rsid w:val="00F868E9"/>
    <w:rsid w:val="00F86A5A"/>
    <w:rsid w:val="00F86AF6"/>
    <w:rsid w:val="00F86DC9"/>
    <w:rsid w:val="00F90847"/>
    <w:rsid w:val="00F90C00"/>
    <w:rsid w:val="00F912AD"/>
    <w:rsid w:val="00F91621"/>
    <w:rsid w:val="00F92010"/>
    <w:rsid w:val="00F93B3B"/>
    <w:rsid w:val="00F95436"/>
    <w:rsid w:val="00F977A9"/>
    <w:rsid w:val="00FA1C77"/>
    <w:rsid w:val="00FA1CC1"/>
    <w:rsid w:val="00FA2AAF"/>
    <w:rsid w:val="00FA3B38"/>
    <w:rsid w:val="00FA4BD4"/>
    <w:rsid w:val="00FA56F6"/>
    <w:rsid w:val="00FA5967"/>
    <w:rsid w:val="00FA72A8"/>
    <w:rsid w:val="00FA730A"/>
    <w:rsid w:val="00FA7787"/>
    <w:rsid w:val="00FB0E43"/>
    <w:rsid w:val="00FB263C"/>
    <w:rsid w:val="00FB3316"/>
    <w:rsid w:val="00FB3A80"/>
    <w:rsid w:val="00FB4236"/>
    <w:rsid w:val="00FB44F1"/>
    <w:rsid w:val="00FB4C6D"/>
    <w:rsid w:val="00FB4D08"/>
    <w:rsid w:val="00FC09C1"/>
    <w:rsid w:val="00FC1677"/>
    <w:rsid w:val="00FC1749"/>
    <w:rsid w:val="00FC2178"/>
    <w:rsid w:val="00FC35BA"/>
    <w:rsid w:val="00FC35F3"/>
    <w:rsid w:val="00FC3B26"/>
    <w:rsid w:val="00FC4B5E"/>
    <w:rsid w:val="00FC5350"/>
    <w:rsid w:val="00FC53F1"/>
    <w:rsid w:val="00FC624C"/>
    <w:rsid w:val="00FC73F3"/>
    <w:rsid w:val="00FC78C9"/>
    <w:rsid w:val="00FC7C41"/>
    <w:rsid w:val="00FD2B0F"/>
    <w:rsid w:val="00FD2BB5"/>
    <w:rsid w:val="00FD30DA"/>
    <w:rsid w:val="00FD38D3"/>
    <w:rsid w:val="00FD40F2"/>
    <w:rsid w:val="00FD4823"/>
    <w:rsid w:val="00FD4883"/>
    <w:rsid w:val="00FD563F"/>
    <w:rsid w:val="00FD63A3"/>
    <w:rsid w:val="00FD6528"/>
    <w:rsid w:val="00FD66DF"/>
    <w:rsid w:val="00FD7EB0"/>
    <w:rsid w:val="00FD7F0C"/>
    <w:rsid w:val="00FE05C4"/>
    <w:rsid w:val="00FE0BA7"/>
    <w:rsid w:val="00FE0F33"/>
    <w:rsid w:val="00FE16EB"/>
    <w:rsid w:val="00FE1903"/>
    <w:rsid w:val="00FE1EBE"/>
    <w:rsid w:val="00FE2428"/>
    <w:rsid w:val="00FE248D"/>
    <w:rsid w:val="00FE2D5A"/>
    <w:rsid w:val="00FE5788"/>
    <w:rsid w:val="00FE6A17"/>
    <w:rsid w:val="00FE6F7E"/>
    <w:rsid w:val="00FE7881"/>
    <w:rsid w:val="00FE79D0"/>
    <w:rsid w:val="00FE7BCE"/>
    <w:rsid w:val="00FE7C4C"/>
    <w:rsid w:val="00FE7E75"/>
    <w:rsid w:val="00FF024B"/>
    <w:rsid w:val="00FF0607"/>
    <w:rsid w:val="00FF0615"/>
    <w:rsid w:val="00FF1617"/>
    <w:rsid w:val="00FF1674"/>
    <w:rsid w:val="00FF168E"/>
    <w:rsid w:val="00FF1DB5"/>
    <w:rsid w:val="00FF2D94"/>
    <w:rsid w:val="00FF3F76"/>
    <w:rsid w:val="00FF4EB8"/>
    <w:rsid w:val="00FF5941"/>
    <w:rsid w:val="00FF6217"/>
    <w:rsid w:val="00FF6453"/>
    <w:rsid w:val="00FF70D6"/>
    <w:rsid w:val="00FF75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A8E6C"/>
  <w15:docId w15:val="{1DAEB1A8-A2BA-49E0-98BF-4BB3669C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633C"/>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9">
    <w:name w:val="Table Normal9"/>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8">
    <w:name w:val="Table Normal8"/>
    <w:tblPr>
      <w:tblCellMar>
        <w:top w:w="0" w:type="dxa"/>
        <w:left w:w="0" w:type="dxa"/>
        <w:bottom w:w="0" w:type="dxa"/>
        <w:right w:w="0" w:type="dxa"/>
      </w:tblCellMar>
    </w:tblPr>
  </w:style>
  <w:style w:type="table" w:customStyle="1" w:styleId="TableNormal7">
    <w:name w:val="Table Normal7"/>
    <w:rsid w:val="000B0685"/>
    <w:tblPr>
      <w:tblCellMar>
        <w:top w:w="0" w:type="dxa"/>
        <w:left w:w="0" w:type="dxa"/>
        <w:bottom w:w="0" w:type="dxa"/>
        <w:right w:w="0" w:type="dxa"/>
      </w:tblCellMar>
    </w:tblPr>
  </w:style>
  <w:style w:type="paragraph" w:styleId="Intestazione">
    <w:name w:val="header"/>
    <w:basedOn w:val="Normale"/>
    <w:link w:val="IntestazioneCarattere"/>
    <w:unhideWhenUsed/>
    <w:rsid w:val="00BB1EF6"/>
    <w:pPr>
      <w:tabs>
        <w:tab w:val="center" w:pos="4819"/>
        <w:tab w:val="right" w:pos="9638"/>
      </w:tabs>
    </w:pPr>
  </w:style>
  <w:style w:type="character" w:customStyle="1" w:styleId="IntestazioneCarattere">
    <w:name w:val="Intestazione Carattere"/>
    <w:basedOn w:val="Carpredefinitoparagrafo"/>
    <w:link w:val="Intestazione"/>
    <w:rsid w:val="00BB1EF6"/>
  </w:style>
  <w:style w:type="paragraph" w:styleId="Pidipagina">
    <w:name w:val="footer"/>
    <w:basedOn w:val="Normale"/>
    <w:link w:val="PidipaginaCarattere"/>
    <w:uiPriority w:val="99"/>
    <w:unhideWhenUsed/>
    <w:rsid w:val="00BB1EF6"/>
    <w:pPr>
      <w:tabs>
        <w:tab w:val="center" w:pos="4819"/>
        <w:tab w:val="right" w:pos="9638"/>
      </w:tabs>
    </w:pPr>
  </w:style>
  <w:style w:type="character" w:customStyle="1" w:styleId="PidipaginaCarattere">
    <w:name w:val="Piè di pagina Carattere"/>
    <w:basedOn w:val="Carpredefinitoparagrafo"/>
    <w:link w:val="Pidipagina"/>
    <w:uiPriority w:val="99"/>
    <w:rsid w:val="00BB1EF6"/>
  </w:style>
  <w:style w:type="paragraph" w:styleId="Nessunaspaziatura">
    <w:name w:val="No Spacing"/>
    <w:uiPriority w:val="1"/>
    <w:qFormat/>
    <w:rsid w:val="00BB1EF6"/>
  </w:style>
  <w:style w:type="character" w:customStyle="1" w:styleId="comma">
    <w:name w:val="comma"/>
    <w:basedOn w:val="Carpredefinitoparagrafo"/>
    <w:rsid w:val="00BB1EF6"/>
  </w:style>
  <w:style w:type="character" w:customStyle="1" w:styleId="apple-converted-space">
    <w:name w:val="apple-converted-space"/>
    <w:basedOn w:val="Carpredefinitoparagrafo"/>
    <w:rsid w:val="00BB1EF6"/>
  </w:style>
  <w:style w:type="paragraph" w:styleId="Paragrafoelenco">
    <w:name w:val="List Paragraph"/>
    <w:basedOn w:val="Normale"/>
    <w:uiPriority w:val="34"/>
    <w:qFormat/>
    <w:rsid w:val="00BB1EF6"/>
    <w:pPr>
      <w:ind w:left="720"/>
      <w:contextualSpacing/>
    </w:pPr>
  </w:style>
  <w:style w:type="paragraph" w:styleId="Revisione">
    <w:name w:val="Revision"/>
    <w:hidden/>
    <w:uiPriority w:val="99"/>
    <w:semiHidden/>
    <w:rsid w:val="00AD1653"/>
  </w:style>
  <w:style w:type="paragraph" w:styleId="Testofumetto">
    <w:name w:val="Balloon Text"/>
    <w:basedOn w:val="Normale"/>
    <w:link w:val="TestofumettoCarattere"/>
    <w:uiPriority w:val="99"/>
    <w:semiHidden/>
    <w:unhideWhenUsed/>
    <w:rsid w:val="00AD165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D1653"/>
    <w:rPr>
      <w:rFonts w:ascii="Segoe UI" w:eastAsia="Times New Roman" w:hAnsi="Segoe UI" w:cs="Segoe UI"/>
      <w:sz w:val="18"/>
      <w:szCs w:val="18"/>
      <w:lang w:eastAsia="it-IT"/>
    </w:rPr>
  </w:style>
  <w:style w:type="paragraph" w:customStyle="1" w:styleId="paracenter">
    <w:name w:val="paracenter"/>
    <w:basedOn w:val="Normale"/>
    <w:rsid w:val="005C4174"/>
    <w:pPr>
      <w:jc w:val="center"/>
    </w:pPr>
    <w:rPr>
      <w:rFonts w:eastAsiaTheme="minorEastAsia"/>
    </w:rPr>
  </w:style>
  <w:style w:type="character" w:customStyle="1" w:styleId="estremosel">
    <w:name w:val="estremosel"/>
    <w:basedOn w:val="Carpredefinitoparagrafo"/>
    <w:rsid w:val="00D82E5E"/>
  </w:style>
  <w:style w:type="character" w:customStyle="1" w:styleId="nota1">
    <w:name w:val="nota1"/>
    <w:basedOn w:val="Carpredefinitoparagrafo"/>
    <w:rsid w:val="00D82E5E"/>
  </w:style>
  <w:style w:type="paragraph" w:customStyle="1" w:styleId="provvtitoli">
    <w:name w:val="provv_titoli"/>
    <w:basedOn w:val="Normale"/>
    <w:rsid w:val="00D82E5E"/>
    <w:pPr>
      <w:spacing w:before="100" w:beforeAutospacing="1" w:after="100" w:afterAutospacing="1"/>
    </w:pPr>
  </w:style>
  <w:style w:type="character" w:customStyle="1" w:styleId="provvtitart">
    <w:name w:val="provv_titart"/>
    <w:basedOn w:val="Carpredefinitoparagrafo"/>
    <w:rsid w:val="00D82E5E"/>
  </w:style>
  <w:style w:type="character" w:customStyle="1" w:styleId="provvsottotitart">
    <w:name w:val="provv_sottotitart"/>
    <w:basedOn w:val="Carpredefinitoparagrafo"/>
    <w:rsid w:val="00D82E5E"/>
  </w:style>
  <w:style w:type="paragraph" w:customStyle="1" w:styleId="provvr0">
    <w:name w:val="provv_r0"/>
    <w:basedOn w:val="Normale"/>
    <w:rsid w:val="00D82E5E"/>
    <w:pPr>
      <w:spacing w:before="100" w:beforeAutospacing="1" w:after="100" w:afterAutospacing="1"/>
    </w:pPr>
  </w:style>
  <w:style w:type="character" w:customStyle="1" w:styleId="highlight">
    <w:name w:val="highlight"/>
    <w:basedOn w:val="Carpredefinitoparagrafo"/>
    <w:rsid w:val="00D82E5E"/>
  </w:style>
  <w:style w:type="character" w:styleId="Collegamentoipertestuale">
    <w:name w:val="Hyperlink"/>
    <w:basedOn w:val="Carpredefinitoparagrafo"/>
    <w:uiPriority w:val="99"/>
    <w:unhideWhenUsed/>
    <w:rsid w:val="00D82E5E"/>
    <w:rPr>
      <w:color w:val="0000FF"/>
      <w:u w:val="single"/>
    </w:rPr>
  </w:style>
  <w:style w:type="paragraph" w:styleId="NormaleWeb">
    <w:name w:val="Normal (Web)"/>
    <w:basedOn w:val="Normale"/>
    <w:uiPriority w:val="99"/>
    <w:semiHidden/>
    <w:unhideWhenUsed/>
    <w:rsid w:val="00D82E5E"/>
    <w:pPr>
      <w:spacing w:before="100" w:beforeAutospacing="1" w:after="100" w:afterAutospacing="1"/>
    </w:pPr>
  </w:style>
  <w:style w:type="character" w:customStyle="1" w:styleId="provvnumart">
    <w:name w:val="provv_numart"/>
    <w:basedOn w:val="Carpredefinitoparagrafo"/>
    <w:rsid w:val="00D82E5E"/>
  </w:style>
  <w:style w:type="character" w:customStyle="1" w:styleId="provvrubrica">
    <w:name w:val="provv_rubrica"/>
    <w:basedOn w:val="Carpredefinitoparagrafo"/>
    <w:rsid w:val="00D82E5E"/>
  </w:style>
  <w:style w:type="character" w:customStyle="1" w:styleId="provvnumcomma">
    <w:name w:val="provv_numcomma"/>
    <w:basedOn w:val="Carpredefinitoparagrafo"/>
    <w:rsid w:val="00D82E5E"/>
  </w:style>
  <w:style w:type="character" w:customStyle="1" w:styleId="provvabrogato">
    <w:name w:val="provv_abrogato"/>
    <w:basedOn w:val="Carpredefinitoparagrafo"/>
    <w:rsid w:val="00D82E5E"/>
  </w:style>
  <w:style w:type="character" w:customStyle="1" w:styleId="provvcontabrogato">
    <w:name w:val="provv_cont_abrogato"/>
    <w:basedOn w:val="Carpredefinitoparagrafo"/>
    <w:rsid w:val="00D82E5E"/>
  </w:style>
  <w:style w:type="paragraph" w:customStyle="1" w:styleId="provvnota">
    <w:name w:val="provv_nota"/>
    <w:basedOn w:val="Normale"/>
    <w:rsid w:val="00D82E5E"/>
    <w:pPr>
      <w:spacing w:before="100" w:beforeAutospacing="1" w:after="100" w:afterAutospacing="1"/>
    </w:pPr>
  </w:style>
  <w:style w:type="character" w:customStyle="1" w:styleId="linkneltesto">
    <w:name w:val="link_nel_testo"/>
    <w:basedOn w:val="Carpredefinitoparagrafo"/>
    <w:rsid w:val="00D82E5E"/>
  </w:style>
  <w:style w:type="character" w:styleId="Rimandocommento">
    <w:name w:val="annotation reference"/>
    <w:basedOn w:val="Carpredefinitoparagrafo"/>
    <w:uiPriority w:val="99"/>
    <w:semiHidden/>
    <w:unhideWhenUsed/>
    <w:rsid w:val="00EF5B3B"/>
    <w:rPr>
      <w:sz w:val="16"/>
      <w:szCs w:val="16"/>
    </w:rPr>
  </w:style>
  <w:style w:type="paragraph" w:styleId="Testocommento">
    <w:name w:val="annotation text"/>
    <w:basedOn w:val="Normale"/>
    <w:link w:val="TestocommentoCarattere"/>
    <w:uiPriority w:val="99"/>
    <w:semiHidden/>
    <w:unhideWhenUsed/>
    <w:rsid w:val="00EF5B3B"/>
    <w:rPr>
      <w:sz w:val="20"/>
      <w:szCs w:val="20"/>
    </w:rPr>
  </w:style>
  <w:style w:type="character" w:customStyle="1" w:styleId="TestocommentoCarattere">
    <w:name w:val="Testo commento Carattere"/>
    <w:basedOn w:val="Carpredefinitoparagrafo"/>
    <w:link w:val="Testocommento"/>
    <w:uiPriority w:val="99"/>
    <w:semiHidden/>
    <w:rsid w:val="00EF5B3B"/>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F5B3B"/>
    <w:rPr>
      <w:b/>
      <w:bCs/>
    </w:rPr>
  </w:style>
  <w:style w:type="character" w:customStyle="1" w:styleId="SoggettocommentoCarattere">
    <w:name w:val="Soggetto commento Carattere"/>
    <w:basedOn w:val="TestocommentoCarattere"/>
    <w:link w:val="Soggettocommento"/>
    <w:uiPriority w:val="99"/>
    <w:semiHidden/>
    <w:rsid w:val="00EF5B3B"/>
    <w:rPr>
      <w:rFonts w:ascii="Times New Roman" w:eastAsia="Times New Roman" w:hAnsi="Times New Roman" w:cs="Times New Roman"/>
      <w:b/>
      <w:bCs/>
      <w:sz w:val="20"/>
      <w:szCs w:val="20"/>
      <w:lang w:eastAsia="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styleId="Grigliatabella">
    <w:name w:val="Table Grid"/>
    <w:basedOn w:val="Tabellanormale"/>
    <w:uiPriority w:val="39"/>
    <w:rsid w:val="0099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872CE9"/>
    <w:tblPr>
      <w:tblCellMar>
        <w:top w:w="0" w:type="dxa"/>
        <w:left w:w="0" w:type="dxa"/>
        <w:bottom w:w="0" w:type="dxa"/>
        <w:right w:w="0" w:type="dxa"/>
      </w:tblCellMar>
    </w:tblPr>
  </w:style>
  <w:style w:type="table" w:customStyle="1" w:styleId="TableNormal2">
    <w:name w:val="Table Normal2"/>
    <w:rsid w:val="00872CE9"/>
    <w:tblPr>
      <w:tblCellMar>
        <w:top w:w="0" w:type="dxa"/>
        <w:left w:w="0" w:type="dxa"/>
        <w:bottom w:w="0" w:type="dxa"/>
        <w:right w:w="0" w:type="dxa"/>
      </w:tblCellMar>
    </w:tblPr>
  </w:style>
  <w:style w:type="table" w:customStyle="1" w:styleId="TableNormal3">
    <w:name w:val="Table Normal3"/>
    <w:rsid w:val="00872CE9"/>
    <w:tblPr>
      <w:tblCellMar>
        <w:top w:w="0" w:type="dxa"/>
        <w:left w:w="0" w:type="dxa"/>
        <w:bottom w:w="0" w:type="dxa"/>
        <w:right w:w="0" w:type="dxa"/>
      </w:tblCellMar>
    </w:tblPr>
  </w:style>
  <w:style w:type="table" w:customStyle="1" w:styleId="TableNormal4">
    <w:name w:val="Table Normal4"/>
    <w:uiPriority w:val="2"/>
    <w:qFormat/>
    <w:rsid w:val="00872CE9"/>
    <w:tblPr>
      <w:tblCellMar>
        <w:top w:w="0" w:type="dxa"/>
        <w:left w:w="0" w:type="dxa"/>
        <w:bottom w:w="0" w:type="dxa"/>
        <w:right w:w="0" w:type="dxa"/>
      </w:tblCellMar>
    </w:tblPr>
  </w:style>
  <w:style w:type="table" w:customStyle="1" w:styleId="TableNormal6">
    <w:name w:val="Table Normal6"/>
    <w:rsid w:val="000B0685"/>
    <w:tblPr>
      <w:tblCellMar>
        <w:top w:w="0" w:type="dxa"/>
        <w:left w:w="0" w:type="dxa"/>
        <w:bottom w:w="0" w:type="dxa"/>
        <w:right w:w="0" w:type="dxa"/>
      </w:tblCellMar>
    </w:tblPr>
  </w:style>
  <w:style w:type="table" w:customStyle="1" w:styleId="TableNormal5">
    <w:name w:val="Table Normal5"/>
    <w:rsid w:val="000B0685"/>
    <w:tblPr>
      <w:tblCellMar>
        <w:top w:w="0" w:type="dxa"/>
        <w:left w:w="0" w:type="dxa"/>
        <w:bottom w:w="0" w:type="dxa"/>
        <w:right w:w="0" w:type="dxa"/>
      </w:tblCellMar>
    </w:tblPr>
  </w:style>
  <w:style w:type="paragraph" w:styleId="Testonotaapidipagina">
    <w:name w:val="footnote text"/>
    <w:basedOn w:val="Normale"/>
    <w:link w:val="TestonotaapidipaginaCarattere"/>
    <w:uiPriority w:val="99"/>
    <w:semiHidden/>
    <w:unhideWhenUsed/>
    <w:rsid w:val="005C08F7"/>
    <w:rPr>
      <w:sz w:val="20"/>
      <w:szCs w:val="20"/>
    </w:rPr>
  </w:style>
  <w:style w:type="character" w:customStyle="1" w:styleId="TestonotaapidipaginaCarattere">
    <w:name w:val="Testo nota a piè di pagina Carattere"/>
    <w:basedOn w:val="Carpredefinitoparagrafo"/>
    <w:link w:val="Testonotaapidipagina"/>
    <w:uiPriority w:val="99"/>
    <w:semiHidden/>
    <w:rsid w:val="005C08F7"/>
    <w:rPr>
      <w:sz w:val="20"/>
      <w:szCs w:val="20"/>
    </w:rPr>
  </w:style>
  <w:style w:type="character" w:styleId="Rimandonotaapidipagina">
    <w:name w:val="footnote reference"/>
    <w:basedOn w:val="Carpredefinitoparagrafo"/>
    <w:uiPriority w:val="99"/>
    <w:semiHidden/>
    <w:unhideWhenUsed/>
    <w:rsid w:val="005C08F7"/>
    <w:rPr>
      <w:vertAlign w:val="superscript"/>
    </w:rPr>
  </w:style>
  <w:style w:type="character" w:styleId="Menzionenonrisolta">
    <w:name w:val="Unresolved Mention"/>
    <w:basedOn w:val="Carpredefinitoparagrafo"/>
    <w:uiPriority w:val="99"/>
    <w:semiHidden/>
    <w:unhideWhenUsed/>
    <w:rsid w:val="00327C7C"/>
    <w:rPr>
      <w:color w:val="605E5C"/>
      <w:shd w:val="clear" w:color="auto" w:fill="E1DFDD"/>
    </w:rPr>
  </w:style>
  <w:style w:type="character" w:styleId="Collegamentovisitato">
    <w:name w:val="FollowedHyperlink"/>
    <w:basedOn w:val="Carpredefinitoparagrafo"/>
    <w:uiPriority w:val="99"/>
    <w:semiHidden/>
    <w:unhideWhenUsed/>
    <w:rsid w:val="00327C7C"/>
    <w:rPr>
      <w:color w:val="954F72" w:themeColor="followedHyperlink"/>
      <w:u w:val="single"/>
    </w:rPr>
  </w:style>
  <w:style w:type="table" w:customStyle="1" w:styleId="Grigliatabella1">
    <w:name w:val="Griglia tabella1"/>
    <w:basedOn w:val="Tabellanormale"/>
    <w:next w:val="Grigliatabella"/>
    <w:uiPriority w:val="39"/>
    <w:rsid w:val="00CF70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unhideWhenUsed/>
    <w:rsid w:val="00595A2A"/>
    <w:pPr>
      <w:spacing w:after="60" w:line="276" w:lineRule="auto"/>
      <w:jc w:val="center"/>
    </w:pPr>
    <w:rPr>
      <w:rFonts w:eastAsia="Century Schoolbook"/>
      <w:b/>
      <w:bCs/>
      <w:sz w:val="28"/>
      <w:szCs w:val="28"/>
    </w:rPr>
  </w:style>
  <w:style w:type="character" w:customStyle="1" w:styleId="CorpotestoCarattere">
    <w:name w:val="Corpo testo Carattere"/>
    <w:basedOn w:val="Carpredefinitoparagrafo"/>
    <w:link w:val="Corpotesto"/>
    <w:uiPriority w:val="99"/>
    <w:rsid w:val="00595A2A"/>
    <w:rPr>
      <w:rFonts w:eastAsia="Century Schoolbook"/>
      <w:b/>
      <w:bCs/>
      <w:sz w:val="28"/>
      <w:szCs w:val="28"/>
    </w:rPr>
  </w:style>
  <w:style w:type="paragraph" w:styleId="Corpodeltesto2">
    <w:name w:val="Body Text 2"/>
    <w:basedOn w:val="Normale"/>
    <w:link w:val="Corpodeltesto2Carattere"/>
    <w:uiPriority w:val="99"/>
    <w:unhideWhenUsed/>
    <w:rsid w:val="00001788"/>
    <w:pPr>
      <w:spacing w:after="60" w:line="276" w:lineRule="auto"/>
      <w:jc w:val="both"/>
    </w:pPr>
    <w:rPr>
      <w:b/>
      <w:bCs/>
    </w:rPr>
  </w:style>
  <w:style w:type="character" w:customStyle="1" w:styleId="Corpodeltesto2Carattere">
    <w:name w:val="Corpo del testo 2 Carattere"/>
    <w:basedOn w:val="Carpredefinitoparagrafo"/>
    <w:link w:val="Corpodeltesto2"/>
    <w:uiPriority w:val="99"/>
    <w:rsid w:val="000017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719">
      <w:bodyDiv w:val="1"/>
      <w:marLeft w:val="0"/>
      <w:marRight w:val="0"/>
      <w:marTop w:val="0"/>
      <w:marBottom w:val="0"/>
      <w:divBdr>
        <w:top w:val="none" w:sz="0" w:space="0" w:color="auto"/>
        <w:left w:val="none" w:sz="0" w:space="0" w:color="auto"/>
        <w:bottom w:val="none" w:sz="0" w:space="0" w:color="auto"/>
        <w:right w:val="none" w:sz="0" w:space="0" w:color="auto"/>
      </w:divBdr>
    </w:div>
    <w:div w:id="98570547">
      <w:bodyDiv w:val="1"/>
      <w:marLeft w:val="0"/>
      <w:marRight w:val="0"/>
      <w:marTop w:val="0"/>
      <w:marBottom w:val="0"/>
      <w:divBdr>
        <w:top w:val="none" w:sz="0" w:space="0" w:color="auto"/>
        <w:left w:val="none" w:sz="0" w:space="0" w:color="auto"/>
        <w:bottom w:val="none" w:sz="0" w:space="0" w:color="auto"/>
        <w:right w:val="none" w:sz="0" w:space="0" w:color="auto"/>
      </w:divBdr>
      <w:divsChild>
        <w:div w:id="372383356">
          <w:marLeft w:val="0"/>
          <w:marRight w:val="0"/>
          <w:marTop w:val="0"/>
          <w:marBottom w:val="0"/>
          <w:divBdr>
            <w:top w:val="none" w:sz="0" w:space="0" w:color="auto"/>
            <w:left w:val="none" w:sz="0" w:space="0" w:color="auto"/>
            <w:bottom w:val="none" w:sz="0" w:space="0" w:color="auto"/>
            <w:right w:val="none" w:sz="0" w:space="0" w:color="auto"/>
          </w:divBdr>
          <w:divsChild>
            <w:div w:id="1609779943">
              <w:marLeft w:val="0"/>
              <w:marRight w:val="0"/>
              <w:marTop w:val="0"/>
              <w:marBottom w:val="0"/>
              <w:divBdr>
                <w:top w:val="none" w:sz="0" w:space="0" w:color="auto"/>
                <w:left w:val="none" w:sz="0" w:space="0" w:color="auto"/>
                <w:bottom w:val="none" w:sz="0" w:space="0" w:color="auto"/>
                <w:right w:val="none" w:sz="0" w:space="0" w:color="auto"/>
              </w:divBdr>
              <w:divsChild>
                <w:div w:id="1055353649">
                  <w:marLeft w:val="0"/>
                  <w:marRight w:val="0"/>
                  <w:marTop w:val="0"/>
                  <w:marBottom w:val="0"/>
                  <w:divBdr>
                    <w:top w:val="none" w:sz="0" w:space="0" w:color="auto"/>
                    <w:left w:val="none" w:sz="0" w:space="0" w:color="auto"/>
                    <w:bottom w:val="none" w:sz="0" w:space="0" w:color="auto"/>
                    <w:right w:val="none" w:sz="0" w:space="0" w:color="auto"/>
                  </w:divBdr>
                  <w:divsChild>
                    <w:div w:id="1646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809197">
      <w:bodyDiv w:val="1"/>
      <w:marLeft w:val="0"/>
      <w:marRight w:val="0"/>
      <w:marTop w:val="0"/>
      <w:marBottom w:val="0"/>
      <w:divBdr>
        <w:top w:val="none" w:sz="0" w:space="0" w:color="auto"/>
        <w:left w:val="none" w:sz="0" w:space="0" w:color="auto"/>
        <w:bottom w:val="none" w:sz="0" w:space="0" w:color="auto"/>
        <w:right w:val="none" w:sz="0" w:space="0" w:color="auto"/>
      </w:divBdr>
    </w:div>
    <w:div w:id="650211225">
      <w:bodyDiv w:val="1"/>
      <w:marLeft w:val="0"/>
      <w:marRight w:val="0"/>
      <w:marTop w:val="0"/>
      <w:marBottom w:val="0"/>
      <w:divBdr>
        <w:top w:val="none" w:sz="0" w:space="0" w:color="auto"/>
        <w:left w:val="none" w:sz="0" w:space="0" w:color="auto"/>
        <w:bottom w:val="none" w:sz="0" w:space="0" w:color="auto"/>
        <w:right w:val="none" w:sz="0" w:space="0" w:color="auto"/>
      </w:divBdr>
    </w:div>
    <w:div w:id="1056510098">
      <w:bodyDiv w:val="1"/>
      <w:marLeft w:val="0"/>
      <w:marRight w:val="0"/>
      <w:marTop w:val="0"/>
      <w:marBottom w:val="0"/>
      <w:divBdr>
        <w:top w:val="none" w:sz="0" w:space="0" w:color="auto"/>
        <w:left w:val="none" w:sz="0" w:space="0" w:color="auto"/>
        <w:bottom w:val="none" w:sz="0" w:space="0" w:color="auto"/>
        <w:right w:val="none" w:sz="0" w:space="0" w:color="auto"/>
      </w:divBdr>
    </w:div>
    <w:div w:id="1727102297">
      <w:bodyDiv w:val="1"/>
      <w:marLeft w:val="0"/>
      <w:marRight w:val="0"/>
      <w:marTop w:val="0"/>
      <w:marBottom w:val="0"/>
      <w:divBdr>
        <w:top w:val="none" w:sz="0" w:space="0" w:color="auto"/>
        <w:left w:val="none" w:sz="0" w:space="0" w:color="auto"/>
        <w:bottom w:val="none" w:sz="0" w:space="0" w:color="auto"/>
        <w:right w:val="none" w:sz="0" w:space="0" w:color="auto"/>
      </w:divBdr>
      <w:divsChild>
        <w:div w:id="840781228">
          <w:marLeft w:val="0"/>
          <w:marRight w:val="0"/>
          <w:marTop w:val="0"/>
          <w:marBottom w:val="0"/>
          <w:divBdr>
            <w:top w:val="none" w:sz="0" w:space="0" w:color="auto"/>
            <w:left w:val="none" w:sz="0" w:space="0" w:color="auto"/>
            <w:bottom w:val="none" w:sz="0" w:space="0" w:color="auto"/>
            <w:right w:val="none" w:sz="0" w:space="0" w:color="auto"/>
          </w:divBdr>
          <w:divsChild>
            <w:div w:id="989286877">
              <w:marLeft w:val="0"/>
              <w:marRight w:val="0"/>
              <w:marTop w:val="0"/>
              <w:marBottom w:val="0"/>
              <w:divBdr>
                <w:top w:val="none" w:sz="0" w:space="0" w:color="auto"/>
                <w:left w:val="none" w:sz="0" w:space="0" w:color="auto"/>
                <w:bottom w:val="none" w:sz="0" w:space="0" w:color="auto"/>
                <w:right w:val="none" w:sz="0" w:space="0" w:color="auto"/>
              </w:divBdr>
              <w:divsChild>
                <w:div w:id="1486359431">
                  <w:marLeft w:val="0"/>
                  <w:marRight w:val="0"/>
                  <w:marTop w:val="0"/>
                  <w:marBottom w:val="0"/>
                  <w:divBdr>
                    <w:top w:val="none" w:sz="0" w:space="0" w:color="auto"/>
                    <w:left w:val="none" w:sz="0" w:space="0" w:color="auto"/>
                    <w:bottom w:val="none" w:sz="0" w:space="0" w:color="auto"/>
                    <w:right w:val="none" w:sz="0" w:space="0" w:color="auto"/>
                  </w:divBdr>
                  <w:divsChild>
                    <w:div w:id="93810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633379">
      <w:bodyDiv w:val="1"/>
      <w:marLeft w:val="0"/>
      <w:marRight w:val="0"/>
      <w:marTop w:val="0"/>
      <w:marBottom w:val="0"/>
      <w:divBdr>
        <w:top w:val="none" w:sz="0" w:space="0" w:color="auto"/>
        <w:left w:val="none" w:sz="0" w:space="0" w:color="auto"/>
        <w:bottom w:val="none" w:sz="0" w:space="0" w:color="auto"/>
        <w:right w:val="none" w:sz="0" w:space="0" w:color="auto"/>
      </w:divBdr>
    </w:div>
    <w:div w:id="1865485225">
      <w:bodyDiv w:val="1"/>
      <w:marLeft w:val="0"/>
      <w:marRight w:val="0"/>
      <w:marTop w:val="0"/>
      <w:marBottom w:val="0"/>
      <w:divBdr>
        <w:top w:val="none" w:sz="0" w:space="0" w:color="auto"/>
        <w:left w:val="none" w:sz="0" w:space="0" w:color="auto"/>
        <w:bottom w:val="none" w:sz="0" w:space="0" w:color="auto"/>
        <w:right w:val="none" w:sz="0" w:space="0" w:color="auto"/>
      </w:divBdr>
    </w:div>
    <w:div w:id="2021815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V3khqoa0FgQs1VbCUuOogynwvA==">AMUW2mUsncUWK9I/xX8BxLBoLFsyqzLp1rRGd5tcpQRH2e8rxY65J1Yfql5u1xJh05lBK78BvYTh3yaDmr3YAvNDCI4sayG0HZaFnoBJ3o69Oiw7bYP5I3Qp/QsbMOxVHECL8S4QMJns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CC7824-7ADC-45AD-8476-C8EDAD36B88D}">
  <ds:schemaRefs>
    <ds:schemaRef ds:uri="http://schemas.openxmlformats.org/officeDocument/2006/bibliography"/>
  </ds:schemaRefs>
</ds:datastoreItem>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6203</TotalTime>
  <Pages>6</Pages>
  <Words>1453</Words>
  <Characters>8288</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9722</CharactersWithSpaces>
  <SharedDoc>false</SharedDoc>
  <HLinks>
    <vt:vector size="24" baseType="variant">
      <vt:variant>
        <vt:i4>8323147</vt:i4>
      </vt:variant>
      <vt:variant>
        <vt:i4>9</vt:i4>
      </vt:variant>
      <vt:variant>
        <vt:i4>0</vt:i4>
      </vt:variant>
      <vt:variant>
        <vt:i4>5</vt:i4>
      </vt:variant>
      <vt:variant>
        <vt:lpwstr>https://www.ipcc.ch/report/ar6/syr/downloads/report/IPCC_AR6_SYR_FullVolume.pdf</vt:lpwstr>
      </vt:variant>
      <vt:variant>
        <vt:lpwstr/>
      </vt:variant>
      <vt:variant>
        <vt:i4>4128816</vt:i4>
      </vt:variant>
      <vt:variant>
        <vt:i4>6</vt:i4>
      </vt:variant>
      <vt:variant>
        <vt:i4>0</vt:i4>
      </vt:variant>
      <vt:variant>
        <vt:i4>5</vt:i4>
      </vt:variant>
      <vt:variant>
        <vt:lpwstr>https://www.who.int/news-room/fact-sheets/detail/climate-change-and-health</vt:lpwstr>
      </vt:variant>
      <vt:variant>
        <vt:lpwstr/>
      </vt:variant>
      <vt:variant>
        <vt:i4>1048635</vt:i4>
      </vt:variant>
      <vt:variant>
        <vt:i4>3</vt:i4>
      </vt:variant>
      <vt:variant>
        <vt:i4>0</vt:i4>
      </vt:variant>
      <vt:variant>
        <vt:i4>5</vt:i4>
      </vt:variant>
      <vt:variant>
        <vt:lpwstr>https://joint-research-centre.ec.europa.eu/system/files/2020-05/pesetaiv_summary_final_report.pdf</vt:lpwstr>
      </vt:variant>
      <vt:variant>
        <vt:lpwstr/>
      </vt:variant>
      <vt:variant>
        <vt:i4>1572947</vt:i4>
      </vt:variant>
      <vt:variant>
        <vt:i4>0</vt:i4>
      </vt:variant>
      <vt:variant>
        <vt:i4>0</vt:i4>
      </vt:variant>
      <vt:variant>
        <vt:i4>5</vt:i4>
      </vt:variant>
      <vt:variant>
        <vt:lpwstr>https://climate.copernicus.eu/summer-2023-hottest-record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Malerba Tommaso Staff</dc:creator>
  <cp:keywords/>
  <cp:lastModifiedBy>De Novellis Luigi Carlo</cp:lastModifiedBy>
  <cp:revision>3138</cp:revision>
  <cp:lastPrinted>2023-09-05T18:11:00Z</cp:lastPrinted>
  <dcterms:created xsi:type="dcterms:W3CDTF">2023-03-14T18:34:00Z</dcterms:created>
  <dcterms:modified xsi:type="dcterms:W3CDTF">2026-09-10T11:44:00Z</dcterms:modified>
</cp:coreProperties>
</file>